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3"/>
        <w:tabs>
          <w:tab w:val="right" w:pos="8280"/>
          <w:tab w:val="right" w:pos="9781"/>
        </w:tabs>
        <w:snapToGrid w:val="0"/>
        <w:spacing w:after="0" w:line="240" w:lineRule="auto"/>
        <w:ind w:right="-57"/>
        <w:rPr>
          <w:rFonts w:hint="default" w:cs="Arial"/>
          <w:bCs/>
          <w:sz w:val="22"/>
          <w:szCs w:val="22"/>
          <w:lang w:val="en-US" w:eastAsia="zh-CN"/>
        </w:rPr>
      </w:pPr>
      <w:r>
        <w:rPr>
          <w:rFonts w:cs="Arial"/>
          <w:bCs/>
          <w:sz w:val="28"/>
          <w:szCs w:val="28"/>
          <w:lang w:eastAsia="zh-CN"/>
        </w:rPr>
        <w:fldChar w:fldCharType="begin"/>
      </w:r>
      <w:r>
        <w:rPr>
          <w:rFonts w:cs="Arial"/>
          <w:bCs/>
          <w:sz w:val="28"/>
          <w:szCs w:val="28"/>
          <w:lang w:eastAsia="zh-CN"/>
        </w:rPr>
        <w:instrText xml:space="preserve"> MACROBUTTON MTEditEquationSection2 </w:instrText>
      </w:r>
      <w:r>
        <w:rPr>
          <w:rStyle w:val="78"/>
        </w:rPr>
        <w:instrText xml:space="preserve">Equation Chapter 1 Section 1</w:instrText>
      </w:r>
      <w:r>
        <w:rPr>
          <w:rFonts w:cs="Arial"/>
          <w:bCs/>
          <w:sz w:val="28"/>
          <w:szCs w:val="28"/>
          <w:lang w:eastAsia="zh-CN"/>
        </w:rPr>
        <w:fldChar w:fldCharType="begin"/>
      </w:r>
      <w:r>
        <w:rPr>
          <w:rFonts w:cs="Arial"/>
          <w:bCs/>
          <w:sz w:val="28"/>
          <w:szCs w:val="28"/>
          <w:lang w:eastAsia="zh-CN"/>
        </w:rPr>
        <w:instrText xml:space="preserve"> SEQ MTEqn \r \h \* MERGEFORMAT </w:instrText>
      </w:r>
      <w:r>
        <w:rPr>
          <w:rFonts w:cs="Arial"/>
          <w:bCs/>
          <w:sz w:val="28"/>
          <w:szCs w:val="28"/>
          <w:lang w:eastAsia="zh-CN"/>
        </w:rPr>
        <w:fldChar w:fldCharType="end"/>
      </w:r>
      <w:r>
        <w:rPr>
          <w:rFonts w:cs="Arial"/>
          <w:bCs/>
          <w:sz w:val="28"/>
          <w:szCs w:val="28"/>
          <w:lang w:eastAsia="zh-CN"/>
        </w:rPr>
        <w:fldChar w:fldCharType="begin"/>
      </w:r>
      <w:r>
        <w:rPr>
          <w:rFonts w:cs="Arial"/>
          <w:bCs/>
          <w:sz w:val="28"/>
          <w:szCs w:val="28"/>
          <w:lang w:eastAsia="zh-CN"/>
        </w:rPr>
        <w:instrText xml:space="preserve"> SEQ MTSec \r 1 \h \* MERGEFORMAT </w:instrText>
      </w:r>
      <w:r>
        <w:rPr>
          <w:rFonts w:cs="Arial"/>
          <w:bCs/>
          <w:sz w:val="28"/>
          <w:szCs w:val="28"/>
          <w:lang w:eastAsia="zh-CN"/>
        </w:rPr>
        <w:fldChar w:fldCharType="end"/>
      </w:r>
      <w:r>
        <w:rPr>
          <w:rFonts w:cs="Arial"/>
          <w:bCs/>
          <w:sz w:val="28"/>
          <w:szCs w:val="28"/>
          <w:lang w:eastAsia="zh-CN"/>
        </w:rPr>
        <w:fldChar w:fldCharType="begin"/>
      </w:r>
      <w:r>
        <w:rPr>
          <w:rFonts w:cs="Arial"/>
          <w:bCs/>
          <w:sz w:val="28"/>
          <w:szCs w:val="28"/>
          <w:lang w:eastAsia="zh-CN"/>
        </w:rPr>
        <w:instrText xml:space="preserve"> SEQ MTChap \r 1 \h \* MERGEFORMAT </w:instrText>
      </w:r>
      <w:r>
        <w:rPr>
          <w:rFonts w:cs="Arial"/>
          <w:bCs/>
          <w:sz w:val="28"/>
          <w:szCs w:val="28"/>
          <w:lang w:eastAsia="zh-CN"/>
        </w:rPr>
        <w:fldChar w:fldCharType="end"/>
      </w:r>
      <w:r>
        <w:rPr>
          <w:rFonts w:cs="Arial"/>
          <w:bCs/>
          <w:sz w:val="28"/>
          <w:szCs w:val="28"/>
          <w:lang w:eastAsia="zh-CN"/>
        </w:rPr>
        <w:fldChar w:fldCharType="end"/>
      </w:r>
      <w:bookmarkStart w:id="0" w:name="_Hlk533328020"/>
      <w:bookmarkStart w:id="1" w:name="OLE_LINK1"/>
      <w:r>
        <w:rPr>
          <w:rFonts w:cs="Arial"/>
          <w:bCs/>
          <w:sz w:val="22"/>
          <w:szCs w:val="22"/>
          <w:lang w:eastAsia="zh-CN"/>
        </w:rPr>
        <w:t xml:space="preserve">3GPP TSG RAN WG1 </w:t>
      </w:r>
      <w:r>
        <w:rPr>
          <w:rFonts w:hint="eastAsia" w:cs="Arial"/>
          <w:bCs/>
          <w:sz w:val="22"/>
          <w:szCs w:val="22"/>
          <w:lang w:eastAsia="zh-CN"/>
        </w:rPr>
        <w:t>#9</w:t>
      </w:r>
      <w:r>
        <w:rPr>
          <w:rFonts w:hint="eastAsia" w:cs="Arial"/>
          <w:bCs/>
          <w:sz w:val="22"/>
          <w:szCs w:val="22"/>
          <w:lang w:val="en-US" w:eastAsia="zh-CN"/>
        </w:rPr>
        <w:t>8</w:t>
      </w:r>
      <w:r>
        <w:rPr>
          <w:rFonts w:hint="eastAsia" w:cs="Arial"/>
          <w:bCs/>
          <w:sz w:val="22"/>
          <w:szCs w:val="22"/>
          <w:lang w:eastAsia="zh-CN"/>
        </w:rPr>
        <w:t xml:space="preserve">                                                                                  R1-19</w:t>
      </w:r>
      <w:r>
        <w:rPr>
          <w:rFonts w:hint="eastAsia" w:cs="Arial"/>
          <w:bCs/>
          <w:sz w:val="22"/>
          <w:szCs w:val="22"/>
          <w:lang w:val="en-US" w:eastAsia="zh-CN"/>
        </w:rPr>
        <w:t>08238</w:t>
      </w:r>
    </w:p>
    <w:bookmarkEnd w:id="0"/>
    <w:p>
      <w:pPr>
        <w:keepNext w:val="0"/>
        <w:keepLines w:val="0"/>
        <w:pageBreakBefore w:val="0"/>
        <w:widowControl/>
        <w:tabs>
          <w:tab w:val="center" w:pos="4536"/>
          <w:tab w:val="right" w:pos="9072"/>
        </w:tabs>
        <w:kinsoku/>
        <w:wordWrap/>
        <w:overflowPunct w:val="0"/>
        <w:topLinePunct w:val="0"/>
        <w:autoSpaceDE w:val="0"/>
        <w:autoSpaceDN w:val="0"/>
        <w:bidi w:val="0"/>
        <w:adjustRightInd w:val="0"/>
        <w:snapToGrid/>
        <w:spacing w:line="240" w:lineRule="auto"/>
        <w:textAlignment w:val="baseline"/>
        <w:outlineLvl w:val="9"/>
        <w:rPr>
          <w:rFonts w:hint="default" w:ascii="Arial" w:hAnsi="Arial" w:eastAsia="MS Mincho" w:cs="Arial"/>
          <w:b/>
          <w:bCs/>
          <w:sz w:val="22"/>
          <w:szCs w:val="22"/>
          <w:lang w:val="en-US" w:eastAsia="ja-JP"/>
        </w:rPr>
      </w:pPr>
      <w:r>
        <w:rPr>
          <w:rFonts w:ascii="Arial" w:hAnsi="Arial" w:eastAsia="MS Mincho" w:cs="Arial"/>
          <w:b/>
          <w:bCs/>
          <w:sz w:val="22"/>
          <w:szCs w:val="22"/>
          <w:lang w:val="en-US" w:eastAsia="ja-JP"/>
        </w:rPr>
        <w:t>Prague, CZ, August 26</w:t>
      </w:r>
      <w:r>
        <w:rPr>
          <w:rFonts w:ascii="Arial" w:hAnsi="Arial" w:eastAsia="MS Mincho" w:cs="Arial"/>
          <w:b/>
          <w:bCs/>
          <w:sz w:val="22"/>
          <w:szCs w:val="22"/>
          <w:vertAlign w:val="superscript"/>
          <w:lang w:val="en-US" w:eastAsia="ja-JP"/>
        </w:rPr>
        <w:t>th</w:t>
      </w:r>
      <w:r>
        <w:rPr>
          <w:rFonts w:ascii="Arial" w:hAnsi="Arial" w:eastAsia="MS Mincho" w:cs="Arial"/>
          <w:b/>
          <w:bCs/>
          <w:sz w:val="22"/>
          <w:szCs w:val="22"/>
          <w:lang w:val="en-US" w:eastAsia="ja-JP"/>
        </w:rPr>
        <w:t xml:space="preserve"> – 30</w:t>
      </w:r>
      <w:r>
        <w:rPr>
          <w:rFonts w:ascii="Arial" w:hAnsi="Arial" w:eastAsia="MS Mincho" w:cs="Arial"/>
          <w:b/>
          <w:bCs/>
          <w:sz w:val="22"/>
          <w:szCs w:val="22"/>
          <w:vertAlign w:val="superscript"/>
          <w:lang w:val="en-US" w:eastAsia="ja-JP"/>
        </w:rPr>
        <w:t>th</w:t>
      </w:r>
      <w:r>
        <w:rPr>
          <w:rFonts w:ascii="Arial" w:hAnsi="Arial" w:eastAsia="MS Mincho" w:cs="Arial"/>
          <w:b/>
          <w:bCs/>
          <w:sz w:val="22"/>
          <w:szCs w:val="22"/>
          <w:lang w:val="en-US" w:eastAsia="ja-JP"/>
        </w:rPr>
        <w:t>, 2019</w:t>
      </w:r>
    </w:p>
    <w:p>
      <w:pPr>
        <w:pStyle w:val="23"/>
        <w:snapToGrid w:val="0"/>
        <w:spacing w:after="0" w:line="240" w:lineRule="auto"/>
        <w:rPr>
          <w:rFonts w:eastAsia="宋体"/>
          <w:sz w:val="20"/>
          <w:lang w:eastAsia="zh-CN"/>
        </w:rPr>
      </w:pPr>
      <w:r>
        <w:rPr>
          <w:sz w:val="20"/>
        </w:rPr>
        <w:t>Source:</w:t>
      </w:r>
      <w:r>
        <w:rPr>
          <w:rFonts w:hint="eastAsia" w:eastAsiaTheme="minorEastAsia"/>
          <w:sz w:val="20"/>
          <w:lang w:eastAsia="zh-CN"/>
        </w:rPr>
        <w:tab/>
      </w:r>
      <w:r>
        <w:rPr>
          <w:sz w:val="20"/>
        </w:rPr>
        <w:t>ZTE</w:t>
      </w:r>
    </w:p>
    <w:p>
      <w:pPr>
        <w:pStyle w:val="23"/>
        <w:snapToGrid w:val="0"/>
        <w:spacing w:after="0" w:line="240" w:lineRule="auto"/>
        <w:ind w:left="1405" w:hanging="1401" w:hangingChars="700"/>
        <w:rPr>
          <w:rFonts w:eastAsia="宋体"/>
          <w:sz w:val="20"/>
          <w:lang w:eastAsia="zh-CN"/>
        </w:rPr>
      </w:pPr>
      <w:r>
        <w:rPr>
          <w:sz w:val="20"/>
        </w:rPr>
        <w:t>Title:</w:t>
      </w:r>
      <w:r>
        <w:rPr>
          <w:rFonts w:hint="eastAsia" w:eastAsiaTheme="minorEastAsia"/>
          <w:sz w:val="20"/>
          <w:lang w:eastAsia="zh-CN"/>
        </w:rPr>
        <w:t xml:space="preserve">                 On scheduling/HARQ enhancements for NR URLLC</w:t>
      </w:r>
    </w:p>
    <w:p>
      <w:pPr>
        <w:pStyle w:val="23"/>
        <w:snapToGrid w:val="0"/>
        <w:spacing w:after="0" w:line="240" w:lineRule="auto"/>
        <w:rPr>
          <w:rFonts w:eastAsia="宋体"/>
          <w:sz w:val="20"/>
          <w:lang w:eastAsia="zh-CN"/>
        </w:rPr>
      </w:pPr>
      <w:r>
        <w:rPr>
          <w:sz w:val="20"/>
        </w:rPr>
        <w:t>Agenda item:</w:t>
      </w:r>
      <w:r>
        <w:rPr>
          <w:rFonts w:hint="eastAsia" w:eastAsiaTheme="minorEastAsia"/>
          <w:sz w:val="20"/>
          <w:lang w:eastAsia="zh-CN"/>
        </w:rPr>
        <w:tab/>
      </w:r>
      <w:r>
        <w:rPr>
          <w:rFonts w:hint="eastAsia" w:eastAsia="宋体"/>
          <w:sz w:val="20"/>
          <w:lang w:eastAsia="zh-CN"/>
        </w:rPr>
        <w:t>7.2.6.4</w:t>
      </w:r>
    </w:p>
    <w:p>
      <w:pPr>
        <w:pStyle w:val="23"/>
        <w:snapToGrid w:val="0"/>
        <w:spacing w:after="180" w:afterLines="50" w:line="240" w:lineRule="auto"/>
        <w:rPr>
          <w:sz w:val="20"/>
        </w:rPr>
      </w:pPr>
      <w:r>
        <w:rPr>
          <w:sz w:val="20"/>
        </w:rPr>
        <w:t>Document for:  Discussion and Decision</w:t>
      </w:r>
      <w:bookmarkEnd w:id="1"/>
    </w:p>
    <w:p>
      <w:pPr>
        <w:pStyle w:val="2"/>
        <w:snapToGrid w:val="0"/>
        <w:spacing w:beforeLines="0" w:after="180" w:afterLines="50"/>
      </w:pPr>
      <w:r>
        <w:t>I</w:t>
      </w:r>
      <w:r>
        <w:rPr>
          <w:rFonts w:hint="eastAsia"/>
        </w:rPr>
        <w:t>ntroduction</w:t>
      </w:r>
    </w:p>
    <w:p>
      <w:pPr>
        <w:snapToGrid w:val="0"/>
        <w:spacing w:after="120"/>
        <w:rPr>
          <w:rFonts w:eastAsia="宋体"/>
          <w:lang w:val="en-US" w:eastAsia="zh-CN"/>
        </w:rPr>
      </w:pPr>
      <w:bookmarkStart w:id="2" w:name="OLE_LINK11"/>
      <w:r>
        <w:rPr>
          <w:rFonts w:hint="eastAsia" w:eastAsia="宋体"/>
          <w:lang w:val="en-US" w:eastAsia="zh-CN"/>
        </w:rPr>
        <w:t>According to</w:t>
      </w:r>
      <w:r>
        <w:t xml:space="preserve"> the </w:t>
      </w:r>
      <w:r>
        <w:rPr>
          <w:rFonts w:hint="eastAsia" w:eastAsia="宋体"/>
          <w:lang w:val="en-US" w:eastAsia="zh-CN"/>
        </w:rPr>
        <w:t>W</w:t>
      </w:r>
      <w:r>
        <w:t>ID on physical layer enhancements for NR URLLC</w:t>
      </w:r>
      <w:r>
        <w:rPr>
          <w:rFonts w:hint="eastAsia" w:eastAsia="宋体"/>
          <w:bCs/>
          <w:lang w:val="en-US" w:eastAsia="zh-CN"/>
        </w:rPr>
        <w:t>[1],</w:t>
      </w:r>
      <w:r>
        <w:rPr>
          <w:rFonts w:hint="eastAsia" w:eastAsia="宋体"/>
          <w:lang w:val="en-US" w:eastAsia="zh-CN"/>
        </w:rPr>
        <w:t xml:space="preserve"> </w:t>
      </w:r>
      <w:bookmarkEnd w:id="2"/>
      <w:r>
        <w:rPr>
          <w:rFonts w:hint="eastAsia" w:eastAsia="宋体"/>
          <w:lang w:val="en-US" w:eastAsia="zh-CN"/>
        </w:rPr>
        <w:t>scheduling/HARQ enhancements including the following will be specified in RAN1.</w:t>
      </w:r>
    </w:p>
    <w:p>
      <w:pPr>
        <w:pStyle w:val="106"/>
        <w:numPr>
          <w:ilvl w:val="0"/>
          <w:numId w:val="2"/>
        </w:numPr>
        <w:snapToGrid w:val="0"/>
        <w:spacing w:after="120"/>
        <w:rPr>
          <w:kern w:val="2"/>
          <w:lang w:val="en-US" w:eastAsia="zh-CN"/>
        </w:rPr>
      </w:pPr>
      <w:r>
        <w:rPr>
          <w:rFonts w:hint="eastAsia"/>
          <w:kern w:val="2"/>
          <w:lang w:val="en-US" w:eastAsia="zh-CN"/>
        </w:rPr>
        <w:t>Out-of-order HARQ-ACK associated with PDSCHs with different HARQ process IDs</w:t>
      </w:r>
    </w:p>
    <w:p>
      <w:pPr>
        <w:pStyle w:val="106"/>
        <w:numPr>
          <w:ilvl w:val="0"/>
          <w:numId w:val="2"/>
        </w:numPr>
        <w:snapToGrid w:val="0"/>
        <w:spacing w:after="120"/>
        <w:rPr>
          <w:kern w:val="2"/>
          <w:lang w:val="en-US" w:eastAsia="zh-CN"/>
        </w:rPr>
      </w:pPr>
      <w:r>
        <w:rPr>
          <w:rFonts w:hint="eastAsia"/>
          <w:kern w:val="2"/>
          <w:lang w:val="en-US" w:eastAsia="zh-CN"/>
        </w:rPr>
        <w:t>Out-of-order PUSCH scheduling associated with different HARQ process IDs, including overlapping PUSCHs and non-overlapping PUSCHs in time-domain</w:t>
      </w:r>
    </w:p>
    <w:p>
      <w:pPr>
        <w:pStyle w:val="106"/>
        <w:numPr>
          <w:ilvl w:val="0"/>
          <w:numId w:val="2"/>
        </w:numPr>
        <w:snapToGrid w:val="0"/>
        <w:spacing w:after="120"/>
        <w:rPr>
          <w:kern w:val="2"/>
          <w:lang w:val="en-US" w:eastAsia="zh-CN"/>
        </w:rPr>
      </w:pPr>
      <w:r>
        <w:rPr>
          <w:rFonts w:hint="eastAsia"/>
          <w:kern w:val="2"/>
          <w:lang w:val="en-US" w:eastAsia="zh-CN"/>
        </w:rPr>
        <w:t xml:space="preserve">Methods to handle DL data/data resource conflicts for overlapping PDSCHs in time-domain, scheduled by dynamic DL assignments </w:t>
      </w:r>
    </w:p>
    <w:p>
      <w:pPr>
        <w:snapToGrid w:val="0"/>
        <w:spacing w:after="120"/>
        <w:rPr>
          <w:rFonts w:hint="default" w:eastAsia="宋体"/>
          <w:lang w:val="en-US" w:eastAsia="zh-CN"/>
        </w:rPr>
      </w:pPr>
      <w:r>
        <w:rPr>
          <w:rFonts w:hint="eastAsia" w:eastAsia="宋体"/>
          <w:lang w:val="en-US" w:eastAsia="zh-CN"/>
        </w:rPr>
        <w:t xml:space="preserve">For both out-of-order HARQ-ACK and </w:t>
      </w:r>
      <w:r>
        <w:rPr>
          <w:rFonts w:hint="eastAsia"/>
          <w:kern w:val="2"/>
          <w:lang w:val="en-US" w:eastAsia="zh-CN"/>
        </w:rPr>
        <w:t>out-of-order PUSCH scheduling</w:t>
      </w:r>
      <w:r>
        <w:rPr>
          <w:rFonts w:hint="eastAsia" w:eastAsia="宋体"/>
          <w:lang w:val="en-US" w:eastAsia="zh-CN"/>
        </w:rPr>
        <w:t>, four solutions were proposed in RAN1 #96 meeting[2], and we also attach the solutions in the Appendix for reference. The the following conclusion was reached in the last RAN1 #97 meeting[3].</w:t>
      </w:r>
    </w:p>
    <w:p>
      <w:pPr>
        <w:rPr>
          <w:b/>
        </w:rPr>
      </w:pPr>
      <w:r>
        <w:rPr>
          <w:b/>
          <w:u w:val="single"/>
        </w:rPr>
        <w:t>Conclusion</w:t>
      </w:r>
      <w:r>
        <w:rPr>
          <w:rFonts w:hint="eastAsia" w:eastAsia="宋体"/>
          <w:b/>
          <w:u w:val="single"/>
          <w:lang w:val="en-US" w:eastAsia="zh-CN"/>
        </w:rPr>
        <w:t xml:space="preserve"> made in RAN1</w:t>
      </w:r>
      <w:r>
        <w:rPr>
          <w:b/>
        </w:rPr>
        <w:t>:</w:t>
      </w:r>
    </w:p>
    <w:p>
      <w:pPr>
        <w:pStyle w:val="17"/>
        <w:keepNext w:val="0"/>
        <w:keepLines w:val="0"/>
        <w:pageBreakBefore w:val="0"/>
        <w:widowControl/>
        <w:kinsoku/>
        <w:wordWrap/>
        <w:overflowPunct/>
        <w:topLinePunct w:val="0"/>
        <w:autoSpaceDE/>
        <w:autoSpaceDN/>
        <w:bidi w:val="0"/>
        <w:adjustRightInd/>
        <w:snapToGrid w:val="0"/>
        <w:spacing w:after="0"/>
        <w:textAlignment w:val="auto"/>
        <w:outlineLvl w:val="9"/>
        <w:rPr>
          <w:lang w:eastAsia="zh-CN"/>
        </w:rPr>
      </w:pPr>
      <w:r>
        <w:rPr>
          <w:lang w:eastAsia="zh-CN"/>
        </w:rPr>
        <w:t>Study further whether/how to support the following scenarios for the handling of two unicast PDSCHs:</w:t>
      </w:r>
    </w:p>
    <w:p>
      <w:pPr>
        <w:pStyle w:val="17"/>
        <w:keepNext w:val="0"/>
        <w:keepLines w:val="0"/>
        <w:pageBreakBefore w:val="0"/>
        <w:widowControl/>
        <w:numPr>
          <w:ilvl w:val="0"/>
          <w:numId w:val="3"/>
        </w:numPr>
        <w:kinsoku/>
        <w:wordWrap/>
        <w:overflowPunct/>
        <w:topLinePunct w:val="0"/>
        <w:autoSpaceDE/>
        <w:autoSpaceDN/>
        <w:bidi w:val="0"/>
        <w:adjustRightInd/>
        <w:snapToGrid w:val="0"/>
        <w:spacing w:after="0"/>
        <w:textAlignment w:val="auto"/>
        <w:outlineLvl w:val="9"/>
        <w:rPr>
          <w:lang w:eastAsia="zh-CN"/>
        </w:rPr>
      </w:pPr>
      <w:r>
        <w:rPr>
          <w:lang w:eastAsia="zh-CN"/>
        </w:rPr>
        <w:t xml:space="preserve">When </w:t>
      </w:r>
      <w:r>
        <w:rPr>
          <w:highlight w:val="none"/>
          <w:lang w:eastAsia="zh-CN"/>
        </w:rPr>
        <w:t xml:space="preserve">different </w:t>
      </w:r>
      <w:r>
        <w:rPr>
          <w:lang w:eastAsia="zh-CN"/>
        </w:rPr>
        <w:t>DL processing times are associated with different PDSCHs on the same serving cell, and the two PDSCHs are non-overlapping.</w:t>
      </w:r>
    </w:p>
    <w:p>
      <w:pPr>
        <w:pStyle w:val="17"/>
        <w:keepNext w:val="0"/>
        <w:keepLines w:val="0"/>
        <w:pageBreakBefore w:val="0"/>
        <w:widowControl/>
        <w:numPr>
          <w:ilvl w:val="1"/>
          <w:numId w:val="3"/>
        </w:numPr>
        <w:kinsoku/>
        <w:wordWrap/>
        <w:overflowPunct/>
        <w:topLinePunct w:val="0"/>
        <w:autoSpaceDE/>
        <w:autoSpaceDN/>
        <w:bidi w:val="0"/>
        <w:adjustRightInd/>
        <w:snapToGrid w:val="0"/>
        <w:spacing w:after="0"/>
        <w:textAlignment w:val="auto"/>
        <w:outlineLvl w:val="9"/>
        <w:rPr>
          <w:lang w:eastAsia="zh-CN"/>
        </w:rPr>
      </w:pPr>
      <w:r>
        <w:rPr>
          <w:lang w:eastAsia="zh-CN"/>
        </w:rPr>
        <w:t>Note: The PDSCH-to-PUCCHs can be out-of-order or in-order.</w:t>
      </w:r>
    </w:p>
    <w:p>
      <w:pPr>
        <w:pStyle w:val="17"/>
        <w:keepNext w:val="0"/>
        <w:keepLines w:val="0"/>
        <w:pageBreakBefore w:val="0"/>
        <w:widowControl/>
        <w:numPr>
          <w:ilvl w:val="1"/>
          <w:numId w:val="3"/>
        </w:numPr>
        <w:kinsoku/>
        <w:wordWrap/>
        <w:overflowPunct/>
        <w:topLinePunct w:val="0"/>
        <w:autoSpaceDE/>
        <w:autoSpaceDN/>
        <w:bidi w:val="0"/>
        <w:adjustRightInd/>
        <w:snapToGrid w:val="0"/>
        <w:spacing w:after="0"/>
        <w:textAlignment w:val="auto"/>
        <w:outlineLvl w:val="9"/>
        <w:rPr>
          <w:lang w:eastAsia="zh-CN"/>
        </w:rPr>
      </w:pPr>
      <w:r>
        <w:rPr>
          <w:lang w:eastAsia="zh-CN"/>
        </w:rPr>
        <w:t>Note: The solution(s) should address the UE processing pipelining issue.</w:t>
      </w:r>
    </w:p>
    <w:p>
      <w:pPr>
        <w:pStyle w:val="17"/>
        <w:keepNext w:val="0"/>
        <w:keepLines w:val="0"/>
        <w:pageBreakBefore w:val="0"/>
        <w:widowControl/>
        <w:numPr>
          <w:ilvl w:val="1"/>
          <w:numId w:val="3"/>
        </w:numPr>
        <w:kinsoku/>
        <w:wordWrap/>
        <w:overflowPunct/>
        <w:topLinePunct w:val="0"/>
        <w:autoSpaceDE/>
        <w:autoSpaceDN/>
        <w:bidi w:val="0"/>
        <w:adjustRightInd/>
        <w:snapToGrid w:val="0"/>
        <w:spacing w:after="0"/>
        <w:textAlignment w:val="auto"/>
        <w:outlineLvl w:val="9"/>
        <w:rPr>
          <w:lang w:eastAsia="zh-CN"/>
        </w:rPr>
      </w:pPr>
      <w:r>
        <w:rPr>
          <w:lang w:eastAsia="zh-CN"/>
        </w:rPr>
        <w:t>Two PDSCHs follow DL processing timing capability #1 and #2, respectively, on the same serving cell.</w:t>
      </w:r>
    </w:p>
    <w:p>
      <w:pPr>
        <w:pStyle w:val="17"/>
        <w:keepNext w:val="0"/>
        <w:keepLines w:val="0"/>
        <w:pageBreakBefore w:val="0"/>
        <w:widowControl/>
        <w:numPr>
          <w:ilvl w:val="2"/>
          <w:numId w:val="3"/>
        </w:numPr>
        <w:kinsoku/>
        <w:wordWrap/>
        <w:overflowPunct/>
        <w:topLinePunct w:val="0"/>
        <w:autoSpaceDE/>
        <w:autoSpaceDN/>
        <w:bidi w:val="0"/>
        <w:adjustRightInd/>
        <w:snapToGrid w:val="0"/>
        <w:spacing w:after="0"/>
        <w:textAlignment w:val="auto"/>
        <w:outlineLvl w:val="9"/>
        <w:rPr>
          <w:lang w:eastAsia="zh-CN"/>
        </w:rPr>
      </w:pPr>
      <w:r>
        <w:rPr>
          <w:lang w:eastAsia="zh-CN"/>
        </w:rPr>
        <w:t xml:space="preserve">FFS if any different solutions are necessary to address different scenarios when the above condition occurs </w:t>
      </w:r>
    </w:p>
    <w:p>
      <w:pPr>
        <w:pStyle w:val="17"/>
        <w:keepNext w:val="0"/>
        <w:keepLines w:val="0"/>
        <w:pageBreakBefore w:val="0"/>
        <w:widowControl/>
        <w:numPr>
          <w:ilvl w:val="0"/>
          <w:numId w:val="3"/>
        </w:numPr>
        <w:kinsoku/>
        <w:wordWrap/>
        <w:overflowPunct/>
        <w:topLinePunct w:val="0"/>
        <w:autoSpaceDE/>
        <w:autoSpaceDN/>
        <w:bidi w:val="0"/>
        <w:adjustRightInd/>
        <w:snapToGrid w:val="0"/>
        <w:spacing w:after="0"/>
        <w:textAlignment w:val="auto"/>
        <w:outlineLvl w:val="9"/>
        <w:rPr>
          <w:lang w:eastAsia="zh-CN"/>
        </w:rPr>
      </w:pPr>
      <w:r>
        <w:rPr>
          <w:lang w:eastAsia="zh-CN"/>
        </w:rPr>
        <w:t xml:space="preserve">When the </w:t>
      </w:r>
      <w:r>
        <w:rPr>
          <w:highlight w:val="none"/>
          <w:lang w:eastAsia="zh-CN"/>
        </w:rPr>
        <w:t xml:space="preserve">same </w:t>
      </w:r>
      <w:r>
        <w:rPr>
          <w:lang w:eastAsia="zh-CN"/>
        </w:rPr>
        <w:t>DL processing time is configured on the same serving cell, and the two PDSCHs are non-overlapping, and the PDSCH-to-PUCCHs are out of order.</w:t>
      </w:r>
    </w:p>
    <w:p>
      <w:pPr>
        <w:pStyle w:val="17"/>
        <w:keepNext w:val="0"/>
        <w:keepLines w:val="0"/>
        <w:pageBreakBefore w:val="0"/>
        <w:widowControl/>
        <w:numPr>
          <w:ilvl w:val="1"/>
          <w:numId w:val="3"/>
        </w:numPr>
        <w:kinsoku/>
        <w:wordWrap/>
        <w:overflowPunct/>
        <w:topLinePunct w:val="0"/>
        <w:autoSpaceDE/>
        <w:autoSpaceDN/>
        <w:bidi w:val="0"/>
        <w:adjustRightInd/>
        <w:snapToGrid w:val="0"/>
        <w:spacing w:after="0"/>
        <w:textAlignment w:val="auto"/>
        <w:outlineLvl w:val="9"/>
        <w:rPr>
          <w:lang w:eastAsia="zh-CN"/>
        </w:rPr>
      </w:pPr>
      <w:r>
        <w:rPr>
          <w:lang w:eastAsia="zh-CN"/>
        </w:rPr>
        <w:t>Note: There is no UE processing pipelining issue.</w:t>
      </w:r>
    </w:p>
    <w:p>
      <w:pPr>
        <w:pStyle w:val="17"/>
        <w:keepNext w:val="0"/>
        <w:keepLines w:val="0"/>
        <w:pageBreakBefore w:val="0"/>
        <w:widowControl/>
        <w:numPr>
          <w:ilvl w:val="1"/>
          <w:numId w:val="3"/>
        </w:numPr>
        <w:kinsoku/>
        <w:wordWrap/>
        <w:overflowPunct/>
        <w:topLinePunct w:val="0"/>
        <w:autoSpaceDE/>
        <w:autoSpaceDN/>
        <w:bidi w:val="0"/>
        <w:adjustRightInd/>
        <w:snapToGrid w:val="0"/>
        <w:spacing w:after="0"/>
        <w:textAlignment w:val="auto"/>
        <w:outlineLvl w:val="9"/>
        <w:rPr>
          <w:lang w:eastAsia="zh-CN"/>
        </w:rPr>
      </w:pPr>
      <w:r>
        <w:rPr>
          <w:lang w:eastAsia="zh-CN"/>
        </w:rPr>
        <w:t>Note: the in-order PDSCH-to-PUCCHs are already handled in Rel-15.</w:t>
      </w:r>
    </w:p>
    <w:p>
      <w:pPr>
        <w:pStyle w:val="17"/>
        <w:keepNext w:val="0"/>
        <w:keepLines w:val="0"/>
        <w:pageBreakBefore w:val="0"/>
        <w:widowControl/>
        <w:numPr>
          <w:ilvl w:val="0"/>
          <w:numId w:val="3"/>
        </w:numPr>
        <w:kinsoku/>
        <w:wordWrap/>
        <w:overflowPunct/>
        <w:topLinePunct w:val="0"/>
        <w:autoSpaceDE/>
        <w:autoSpaceDN/>
        <w:bidi w:val="0"/>
        <w:adjustRightInd/>
        <w:snapToGrid w:val="0"/>
        <w:spacing w:after="0"/>
        <w:textAlignment w:val="auto"/>
        <w:outlineLvl w:val="9"/>
        <w:rPr>
          <w:lang w:eastAsia="zh-CN"/>
        </w:rPr>
      </w:pPr>
      <w:r>
        <w:rPr>
          <w:lang w:eastAsia="zh-CN"/>
        </w:rPr>
        <w:t>The two unicast PDSCHs are overlapping at least in the time domain, regardless of whether the same or different DL processing times is configured on the same serving cell.</w:t>
      </w:r>
    </w:p>
    <w:p>
      <w:pPr>
        <w:pStyle w:val="17"/>
        <w:keepNext w:val="0"/>
        <w:keepLines w:val="0"/>
        <w:pageBreakBefore w:val="0"/>
        <w:widowControl/>
        <w:numPr>
          <w:ilvl w:val="1"/>
          <w:numId w:val="3"/>
        </w:numPr>
        <w:kinsoku/>
        <w:wordWrap/>
        <w:overflowPunct/>
        <w:topLinePunct w:val="0"/>
        <w:autoSpaceDE/>
        <w:autoSpaceDN/>
        <w:bidi w:val="0"/>
        <w:adjustRightInd/>
        <w:snapToGrid w:val="0"/>
        <w:spacing w:after="0"/>
        <w:textAlignment w:val="auto"/>
        <w:outlineLvl w:val="9"/>
        <w:rPr>
          <w:lang w:eastAsia="zh-CN"/>
        </w:rPr>
      </w:pPr>
      <w:r>
        <w:rPr>
          <w:lang w:eastAsia="zh-CN"/>
        </w:rPr>
        <w:t>Note: The solution(s) should address the UE processing pipelining issue in this case.</w:t>
      </w:r>
    </w:p>
    <w:p>
      <w:pPr>
        <w:numPr>
          <w:ilvl w:val="255"/>
          <w:numId w:val="0"/>
        </w:numPr>
        <w:snapToGrid w:val="0"/>
        <w:spacing w:before="181" w:beforeLines="50" w:after="120"/>
        <w:rPr>
          <w:rFonts w:hint="default"/>
          <w:kern w:val="2"/>
          <w:lang w:val="en-US" w:eastAsia="zh-CN"/>
        </w:rPr>
      </w:pPr>
      <w:r>
        <w:rPr>
          <w:rFonts w:hint="eastAsia"/>
          <w:kern w:val="2"/>
          <w:lang w:val="en-US" w:eastAsia="zh-CN"/>
        </w:rPr>
        <w:t xml:space="preserve">In this contribution, we first discuss the scenarios related to pipeline issue for PDSCH processing, and then give our preference for the solutions. Correspondingly, the pipeline issue for PUSCH processing is also discussed. </w:t>
      </w:r>
    </w:p>
    <w:p>
      <w:pPr>
        <w:pStyle w:val="2"/>
        <w:spacing w:before="180"/>
        <w:rPr>
          <w:lang w:val="en-US"/>
        </w:rPr>
      </w:pPr>
      <w:r>
        <w:rPr>
          <w:rFonts w:hint="eastAsia"/>
          <w:lang w:val="en-US" w:eastAsia="zh-CN"/>
        </w:rPr>
        <w:t xml:space="preserve">Scenarios for </w:t>
      </w:r>
      <w:r>
        <w:rPr>
          <w:lang w:eastAsia="zh-CN"/>
        </w:rPr>
        <w:t xml:space="preserve">handling of </w:t>
      </w:r>
      <w:r>
        <w:rPr>
          <w:rFonts w:hint="eastAsia"/>
          <w:lang w:val="en-US" w:eastAsia="zh-CN"/>
        </w:rPr>
        <w:t>t</w:t>
      </w:r>
      <w:r>
        <w:rPr>
          <w:lang w:eastAsia="zh-CN"/>
        </w:rPr>
        <w:t>wo unicast PDSCHs</w:t>
      </w:r>
      <w:r>
        <w:rPr>
          <w:rFonts w:hint="eastAsia"/>
          <w:lang w:val="en-US" w:eastAsia="zh-CN"/>
        </w:rPr>
        <w:t xml:space="preserve"> </w:t>
      </w:r>
    </w:p>
    <w:p>
      <w:pPr>
        <w:snapToGrid w:val="0"/>
        <w:rPr>
          <w:rFonts w:hint="eastAsia"/>
          <w:kern w:val="2"/>
          <w:lang w:val="en-US" w:eastAsia="zh-CN"/>
        </w:rPr>
      </w:pPr>
      <w:r>
        <w:rPr>
          <w:rFonts w:hint="eastAsia"/>
          <w:kern w:val="2"/>
          <w:lang w:val="en-US" w:eastAsia="zh-CN"/>
        </w:rPr>
        <w:t>I</w:t>
      </w:r>
      <w:r>
        <w:rPr>
          <w:rFonts w:hint="eastAsia" w:eastAsia="宋体"/>
          <w:lang w:val="en-US" w:eastAsia="zh-CN"/>
        </w:rPr>
        <w:t xml:space="preserve">n the RAN1 #97 meeting, </w:t>
      </w:r>
      <w:r>
        <w:rPr>
          <w:rFonts w:hint="eastAsia"/>
          <w:kern w:val="2"/>
          <w:lang w:val="en-US" w:eastAsia="zh-CN"/>
        </w:rPr>
        <w:t xml:space="preserve">three scenarios are listed for further study. In this section, we give more considerations about these scenarios. </w:t>
      </w:r>
    </w:p>
    <w:p>
      <w:pPr>
        <w:numPr>
          <w:ilvl w:val="0"/>
          <w:numId w:val="4"/>
        </w:numPr>
        <w:snapToGrid w:val="0"/>
        <w:ind w:left="420" w:leftChars="0" w:hanging="420" w:firstLineChars="0"/>
        <w:rPr>
          <w:rFonts w:hint="eastAsia"/>
          <w:kern w:val="2"/>
          <w:highlight w:val="none"/>
          <w:u w:val="single"/>
          <w:lang w:val="en-US" w:eastAsia="zh-CN"/>
        </w:rPr>
      </w:pPr>
      <w:r>
        <w:rPr>
          <w:rFonts w:hint="eastAsia"/>
          <w:b/>
          <w:bCs/>
          <w:kern w:val="2"/>
          <w:shd w:val="clear" w:color="auto" w:fill="auto"/>
          <w:lang w:val="en-US" w:eastAsia="zh-CN"/>
        </w:rPr>
        <w:t>S</w:t>
      </w:r>
      <w:r>
        <w:rPr>
          <w:rFonts w:hint="eastAsia"/>
          <w:b/>
          <w:bCs/>
          <w:kern w:val="2"/>
          <w:highlight w:val="none"/>
          <w:shd w:val="clear" w:color="auto" w:fill="auto"/>
          <w:lang w:val="en-US" w:eastAsia="zh-CN"/>
        </w:rPr>
        <w:t>cenario 1:</w:t>
      </w:r>
      <w:r>
        <w:rPr>
          <w:rFonts w:hint="eastAsia"/>
          <w:kern w:val="2"/>
          <w:highlight w:val="none"/>
          <w:u w:val="single"/>
          <w:lang w:val="en-US" w:eastAsia="zh-CN"/>
        </w:rPr>
        <w:t xml:space="preserve"> D</w:t>
      </w:r>
      <w:r>
        <w:rPr>
          <w:rFonts w:hint="eastAsia"/>
          <w:b w:val="0"/>
          <w:bCs w:val="0"/>
          <w:kern w:val="2"/>
          <w:highlight w:val="none"/>
          <w:u w:val="single"/>
          <w:lang w:val="en-US" w:eastAsia="zh-CN"/>
        </w:rPr>
        <w:t>ifferent DL processing times are associated with different PDSCHs on the same serving cell and the two PDSCHs are non-overlapping</w:t>
      </w:r>
      <w:r>
        <w:rPr>
          <w:rFonts w:hint="eastAsia"/>
          <w:kern w:val="2"/>
          <w:highlight w:val="none"/>
          <w:u w:val="single"/>
          <w:lang w:val="en-US" w:eastAsia="zh-CN"/>
        </w:rPr>
        <w:t xml:space="preserve">. </w:t>
      </w:r>
    </w:p>
    <w:p>
      <w:pPr>
        <w:snapToGrid w:val="0"/>
        <w:rPr>
          <w:rFonts w:hint="eastAsia"/>
          <w:kern w:val="2"/>
          <w:highlight w:val="none"/>
          <w:lang w:val="en-US" w:eastAsia="zh-CN"/>
        </w:rPr>
      </w:pPr>
      <w:r>
        <w:rPr>
          <w:rFonts w:hint="eastAsia"/>
          <w:kern w:val="2"/>
          <w:highlight w:val="none"/>
          <w:lang w:val="en-US" w:eastAsia="zh-CN"/>
        </w:rPr>
        <w:t xml:space="preserve">There will be pipeline issue in case when a slow processing time e.g., processing capability #1, is associated with the first PDSCH and a fast processing time e.g., processing capability #2, is associated with the second PDSCH[3]. Thus, it needs to further investigate the sub-scenarios proposed by companies that can cause different </w:t>
      </w:r>
      <w:r>
        <w:rPr>
          <w:rFonts w:hint="eastAsia"/>
          <w:b w:val="0"/>
          <w:bCs w:val="0"/>
          <w:kern w:val="2"/>
          <w:highlight w:val="none"/>
          <w:u w:val="none"/>
          <w:lang w:val="en-US" w:eastAsia="zh-CN"/>
        </w:rPr>
        <w:t>PDSCHs associated with different DL processing times</w:t>
      </w:r>
      <w:r>
        <w:rPr>
          <w:rFonts w:hint="eastAsia"/>
          <w:kern w:val="2"/>
          <w:highlight w:val="none"/>
          <w:lang w:val="en-US" w:eastAsia="zh-CN"/>
        </w:rPr>
        <w:t xml:space="preserve">. </w:t>
      </w:r>
    </w:p>
    <w:p>
      <w:pPr>
        <w:numPr>
          <w:ilvl w:val="0"/>
          <w:numId w:val="5"/>
        </w:numPr>
        <w:snapToGrid w:val="0"/>
        <w:ind w:left="840" w:hanging="420"/>
        <w:rPr>
          <w:rFonts w:hint="eastAsia"/>
          <w:b w:val="0"/>
          <w:bCs/>
          <w:sz w:val="20"/>
          <w:szCs w:val="20"/>
          <w:highlight w:val="none"/>
          <w:lang w:val="en-US" w:eastAsia="zh-CN"/>
        </w:rPr>
      </w:pPr>
      <w:r>
        <w:rPr>
          <w:rFonts w:hint="eastAsia"/>
          <w:b/>
          <w:bCs/>
          <w:kern w:val="2"/>
          <w:sz w:val="20"/>
          <w:szCs w:val="20"/>
          <w:highlight w:val="none"/>
          <w:u w:val="single"/>
          <w:lang w:val="en-US" w:eastAsia="zh-CN"/>
        </w:rPr>
        <w:t>Scenario 1-1:</w:t>
      </w:r>
      <w:r>
        <w:rPr>
          <w:rFonts w:hint="eastAsia"/>
          <w:b/>
          <w:bCs/>
          <w:kern w:val="2"/>
          <w:sz w:val="20"/>
          <w:szCs w:val="20"/>
          <w:highlight w:val="none"/>
          <w:u w:val="none"/>
          <w:lang w:val="en-US" w:eastAsia="zh-CN"/>
        </w:rPr>
        <w:t xml:space="preserve"> </w:t>
      </w:r>
      <w:r>
        <w:rPr>
          <w:sz w:val="20"/>
          <w:szCs w:val="20"/>
          <w:highlight w:val="none"/>
        </w:rPr>
        <w:t xml:space="preserve">For UE processing capability 2 with </w:t>
      </w:r>
      <w:r>
        <w:rPr>
          <w:rFonts w:hint="eastAsia" w:eastAsia="宋体"/>
          <w:sz w:val="20"/>
          <w:szCs w:val="20"/>
          <w:highlight w:val="none"/>
          <w:lang w:val="en-US" w:eastAsia="zh-CN"/>
        </w:rPr>
        <w:t>SCS=30KHz</w:t>
      </w:r>
      <w:r>
        <w:rPr>
          <w:sz w:val="20"/>
          <w:szCs w:val="20"/>
          <w:highlight w:val="none"/>
        </w:rPr>
        <w:t>, and the scheduled RB allocation exceeds</w:t>
      </w:r>
      <w:r>
        <w:rPr>
          <w:rFonts w:hint="eastAsia" w:eastAsia="宋体"/>
          <w:sz w:val="20"/>
          <w:szCs w:val="20"/>
          <w:highlight w:val="none"/>
          <w:lang w:val="en-US" w:eastAsia="zh-CN"/>
        </w:rPr>
        <w:t xml:space="preserve"> </w:t>
      </w:r>
      <w:r>
        <w:rPr>
          <w:sz w:val="20"/>
          <w:szCs w:val="20"/>
          <w:highlight w:val="none"/>
        </w:rPr>
        <w:t>136 RBs, the UE defaults to cap</w:t>
      </w:r>
      <w:r>
        <w:rPr>
          <w:rFonts w:hint="eastAsia" w:eastAsia="宋体"/>
          <w:sz w:val="20"/>
          <w:szCs w:val="20"/>
          <w:highlight w:val="none"/>
          <w:lang w:val="en-US" w:eastAsia="zh-CN"/>
        </w:rPr>
        <w:t>ability</w:t>
      </w:r>
      <w:r>
        <w:rPr>
          <w:sz w:val="20"/>
          <w:szCs w:val="20"/>
          <w:highlight w:val="none"/>
        </w:rPr>
        <w:t xml:space="preserve">#1 processing time. </w:t>
      </w:r>
      <w:r>
        <w:rPr>
          <w:rFonts w:hint="eastAsia" w:eastAsia="宋体"/>
          <w:sz w:val="20"/>
          <w:szCs w:val="20"/>
          <w:highlight w:val="none"/>
          <w:lang w:val="en-US" w:eastAsia="zh-CN"/>
        </w:rPr>
        <w:t>This scenario is specified in Rel-15 and will cause the processing time for the first PDSCH is slower than the second PDSCH, i.e., it will cause pipeline issue. However, Rel-15 has already specify a scheduling restriction by introducing a gap of 10 symbols between the ending of the first PDSCH and the starting of the second PDSCH.</w:t>
      </w:r>
    </w:p>
    <w:p>
      <w:pPr>
        <w:numPr>
          <w:ilvl w:val="0"/>
          <w:numId w:val="5"/>
        </w:numPr>
        <w:snapToGrid w:val="0"/>
        <w:ind w:left="840" w:hanging="420"/>
        <w:rPr>
          <w:rFonts w:hint="eastAsia"/>
          <w:b w:val="0"/>
          <w:bCs w:val="0"/>
          <w:kern w:val="2"/>
          <w:sz w:val="20"/>
          <w:szCs w:val="20"/>
          <w:highlight w:val="none"/>
          <w:u w:val="none"/>
          <w:lang w:val="en-US" w:eastAsia="zh-CN"/>
        </w:rPr>
      </w:pPr>
      <w:r>
        <w:rPr>
          <w:rFonts w:hint="eastAsia" w:eastAsia="宋体"/>
          <w:b/>
          <w:bCs/>
          <w:sz w:val="20"/>
          <w:szCs w:val="20"/>
          <w:highlight w:val="none"/>
          <w:u w:val="single"/>
          <w:lang w:val="en-US" w:eastAsia="zh-CN"/>
        </w:rPr>
        <w:t>Scenario 1-2:</w:t>
      </w:r>
      <w:r>
        <w:rPr>
          <w:rFonts w:hint="eastAsia" w:eastAsia="宋体"/>
          <w:sz w:val="20"/>
          <w:szCs w:val="20"/>
          <w:highlight w:val="none"/>
          <w:lang w:val="en-US" w:eastAsia="zh-CN"/>
        </w:rPr>
        <w:t xml:space="preserve"> </w:t>
      </w:r>
      <w:r>
        <w:rPr>
          <w:b w:val="0"/>
          <w:bCs/>
          <w:sz w:val="20"/>
          <w:szCs w:val="20"/>
          <w:highlight w:val="none"/>
          <w:lang w:eastAsia="zh-CN"/>
        </w:rPr>
        <w:t>When the UE is configured with additional DMRS and DL processing capability #</w:t>
      </w:r>
      <w:r>
        <w:rPr>
          <w:rFonts w:hint="eastAsia"/>
          <w:b w:val="0"/>
          <w:bCs/>
          <w:sz w:val="20"/>
          <w:szCs w:val="20"/>
          <w:highlight w:val="none"/>
          <w:lang w:val="en-US" w:eastAsia="zh-CN"/>
        </w:rPr>
        <w:t>1</w:t>
      </w:r>
      <w:r>
        <w:rPr>
          <w:b w:val="0"/>
          <w:bCs/>
          <w:sz w:val="20"/>
          <w:szCs w:val="20"/>
          <w:highlight w:val="none"/>
          <w:lang w:eastAsia="zh-CN"/>
        </w:rPr>
        <w:t xml:space="preserve"> on a given serving cell, a PDSCH with additional DMRS follows </w:t>
      </w:r>
      <w:r>
        <w:rPr>
          <w:rFonts w:hint="eastAsia"/>
          <w:b w:val="0"/>
          <w:bCs/>
          <w:sz w:val="20"/>
          <w:szCs w:val="20"/>
          <w:highlight w:val="none"/>
          <w:lang w:val="en-US" w:eastAsia="zh-CN"/>
        </w:rPr>
        <w:t xml:space="preserve">a slower </w:t>
      </w:r>
      <w:r>
        <w:rPr>
          <w:b w:val="0"/>
          <w:bCs/>
          <w:sz w:val="20"/>
          <w:szCs w:val="20"/>
          <w:highlight w:val="none"/>
          <w:lang w:eastAsia="zh-CN"/>
        </w:rPr>
        <w:t xml:space="preserve">DL processing capability#1 and a PDSCH without additional DMRS follows </w:t>
      </w:r>
      <w:r>
        <w:rPr>
          <w:rFonts w:hint="eastAsia"/>
          <w:b w:val="0"/>
          <w:bCs/>
          <w:sz w:val="20"/>
          <w:szCs w:val="20"/>
          <w:highlight w:val="none"/>
          <w:lang w:val="en-US" w:eastAsia="zh-CN"/>
        </w:rPr>
        <w:t xml:space="preserve">a faster </w:t>
      </w:r>
      <w:r>
        <w:rPr>
          <w:b w:val="0"/>
          <w:bCs/>
          <w:sz w:val="20"/>
          <w:szCs w:val="20"/>
          <w:highlight w:val="none"/>
          <w:lang w:eastAsia="zh-CN"/>
        </w:rPr>
        <w:t>DL processing capability #</w:t>
      </w:r>
      <w:r>
        <w:rPr>
          <w:rFonts w:hint="eastAsia"/>
          <w:b w:val="0"/>
          <w:bCs/>
          <w:sz w:val="20"/>
          <w:szCs w:val="20"/>
          <w:highlight w:val="none"/>
          <w:lang w:val="en-US" w:eastAsia="zh-CN"/>
        </w:rPr>
        <w:t>1</w:t>
      </w:r>
      <w:r>
        <w:rPr>
          <w:rFonts w:hint="eastAsia"/>
          <w:b w:val="0"/>
          <w:bCs w:val="0"/>
          <w:kern w:val="2"/>
          <w:sz w:val="20"/>
          <w:szCs w:val="20"/>
          <w:highlight w:val="none"/>
          <w:u w:val="none"/>
          <w:lang w:val="en-US" w:eastAsia="zh-CN"/>
        </w:rPr>
        <w:t xml:space="preserve">. But according to the Rel-15 specification, the processing time is determined based on the additional DMRS configuration </w:t>
      </w:r>
      <w:r>
        <w:rPr>
          <w:rFonts w:ascii="Times New Roman" w:hAnsi="Times New Roman"/>
          <w:sz w:val="20"/>
          <w:lang w:val="en-GB"/>
        </w:rPr>
        <w:t>regardless of the length of the allocation or whether a PDSCH has additional DMRS or not</w:t>
      </w:r>
      <w:r>
        <w:rPr>
          <w:rFonts w:hint="eastAsia" w:ascii="Times New Roman" w:hAnsi="Times New Roman" w:eastAsia="宋体"/>
          <w:sz w:val="20"/>
          <w:lang w:val="en-US" w:eastAsia="zh-CN"/>
        </w:rPr>
        <w:t xml:space="preserve">. If Rel-16 </w:t>
      </w:r>
      <w:r>
        <w:rPr>
          <w:rFonts w:hint="eastAsia" w:eastAsia="宋体"/>
          <w:sz w:val="20"/>
          <w:lang w:val="en-US" w:eastAsia="zh-CN"/>
        </w:rPr>
        <w:t>doesn</w:t>
      </w:r>
      <w:r>
        <w:rPr>
          <w:rFonts w:hint="default" w:eastAsia="宋体"/>
          <w:sz w:val="20"/>
          <w:lang w:val="en-US" w:eastAsia="zh-CN"/>
        </w:rPr>
        <w:t>’</w:t>
      </w:r>
      <w:r>
        <w:rPr>
          <w:rFonts w:hint="eastAsia" w:eastAsia="宋体"/>
          <w:sz w:val="20"/>
          <w:lang w:val="en-US" w:eastAsia="zh-CN"/>
        </w:rPr>
        <w:t>t relax the configuration restriction</w:t>
      </w:r>
      <w:r>
        <w:rPr>
          <w:rFonts w:hint="eastAsia" w:ascii="Times New Roman" w:hAnsi="Times New Roman" w:eastAsia="宋体"/>
          <w:sz w:val="20"/>
          <w:lang w:val="en-US" w:eastAsia="zh-CN"/>
        </w:rPr>
        <w:t xml:space="preserve">, there will be no pipeline issue for the case </w:t>
      </w:r>
      <w:r>
        <w:rPr>
          <w:b w:val="0"/>
          <w:bCs/>
          <w:sz w:val="20"/>
          <w:szCs w:val="20"/>
          <w:highlight w:val="none"/>
          <w:lang w:eastAsia="zh-CN"/>
        </w:rPr>
        <w:t xml:space="preserve">a </w:t>
      </w:r>
      <w:r>
        <w:rPr>
          <w:rFonts w:hint="eastAsia"/>
          <w:b w:val="0"/>
          <w:bCs/>
          <w:sz w:val="20"/>
          <w:szCs w:val="20"/>
          <w:highlight w:val="none"/>
          <w:lang w:val="en-US" w:eastAsia="zh-CN"/>
        </w:rPr>
        <w:t xml:space="preserve">first </w:t>
      </w:r>
      <w:r>
        <w:rPr>
          <w:b w:val="0"/>
          <w:bCs/>
          <w:sz w:val="20"/>
          <w:szCs w:val="20"/>
          <w:highlight w:val="none"/>
          <w:lang w:eastAsia="zh-CN"/>
        </w:rPr>
        <w:t>PDSCH with additional DMRS follow</w:t>
      </w:r>
      <w:r>
        <w:rPr>
          <w:rFonts w:hint="eastAsia"/>
          <w:b w:val="0"/>
          <w:bCs/>
          <w:sz w:val="20"/>
          <w:szCs w:val="20"/>
          <w:highlight w:val="none"/>
          <w:lang w:val="en-US" w:eastAsia="zh-CN"/>
        </w:rPr>
        <w:t>ed by a second</w:t>
      </w:r>
      <w:r>
        <w:rPr>
          <w:b w:val="0"/>
          <w:bCs/>
          <w:sz w:val="20"/>
          <w:szCs w:val="20"/>
          <w:highlight w:val="none"/>
          <w:lang w:eastAsia="zh-CN"/>
        </w:rPr>
        <w:t xml:space="preserve">  PDSCH without additional DMRS</w:t>
      </w:r>
      <w:r>
        <w:rPr>
          <w:rFonts w:hint="eastAsia"/>
          <w:b w:val="0"/>
          <w:bCs/>
          <w:sz w:val="20"/>
          <w:szCs w:val="20"/>
          <w:highlight w:val="none"/>
          <w:lang w:val="en-US" w:eastAsia="zh-CN"/>
        </w:rPr>
        <w:t xml:space="preserve">. </w:t>
      </w:r>
    </w:p>
    <w:p>
      <w:pPr>
        <w:numPr>
          <w:ilvl w:val="0"/>
          <w:numId w:val="5"/>
        </w:numPr>
        <w:snapToGrid w:val="0"/>
        <w:ind w:left="840" w:hanging="420"/>
        <w:rPr>
          <w:rFonts w:hint="eastAsia"/>
          <w:b w:val="0"/>
          <w:bCs w:val="0"/>
          <w:kern w:val="2"/>
          <w:sz w:val="20"/>
          <w:szCs w:val="20"/>
          <w:highlight w:val="none"/>
          <w:u w:val="none"/>
          <w:lang w:val="en-US" w:eastAsia="zh-CN"/>
        </w:rPr>
      </w:pPr>
      <w:r>
        <w:rPr>
          <w:rFonts w:hint="eastAsia"/>
          <w:b/>
          <w:bCs/>
          <w:kern w:val="2"/>
          <w:sz w:val="20"/>
          <w:szCs w:val="20"/>
          <w:highlight w:val="none"/>
          <w:u w:val="single"/>
          <w:lang w:val="en-US" w:eastAsia="zh-CN"/>
        </w:rPr>
        <w:t>Scenario 1-3:</w:t>
      </w:r>
      <w:r>
        <w:rPr>
          <w:rFonts w:hint="eastAsia"/>
          <w:b/>
          <w:bCs/>
          <w:kern w:val="2"/>
          <w:sz w:val="20"/>
          <w:szCs w:val="20"/>
          <w:highlight w:val="none"/>
          <w:u w:val="none"/>
          <w:lang w:val="en-US" w:eastAsia="zh-CN"/>
        </w:rPr>
        <w:t xml:space="preserve"> </w:t>
      </w:r>
      <w:r>
        <w:rPr>
          <w:rFonts w:hint="eastAsia"/>
          <w:b w:val="0"/>
          <w:bCs w:val="0"/>
          <w:kern w:val="2"/>
          <w:sz w:val="20"/>
          <w:szCs w:val="20"/>
          <w:highlight w:val="none"/>
          <w:u w:val="none"/>
          <w:lang w:val="en-US" w:eastAsia="zh-CN"/>
        </w:rPr>
        <w:t xml:space="preserve">Different DL processing capability #1 and #2 can be configured for different services on the same serving cell. In Rel-15, once a UE reports that it has DL processing capability #2, it means the UE can process all the  DL transmission by capability #2 regardless of the service types. The same philosophy can be applied in Rel-16 for URLLC. Therefore, the motivation to configure different services on the same serving cell with different DL processing capabilities should be first justified.   </w:t>
      </w:r>
    </w:p>
    <w:p>
      <w:pPr>
        <w:numPr>
          <w:ilvl w:val="0"/>
          <w:numId w:val="5"/>
        </w:numPr>
        <w:snapToGrid w:val="0"/>
        <w:ind w:left="840" w:hanging="420"/>
        <w:rPr>
          <w:rFonts w:hint="eastAsia"/>
          <w:b/>
          <w:bCs/>
          <w:kern w:val="2"/>
          <w:sz w:val="20"/>
          <w:szCs w:val="20"/>
          <w:highlight w:val="none"/>
          <w:u w:val="single"/>
          <w:lang w:val="en-US" w:eastAsia="zh-CN"/>
        </w:rPr>
      </w:pPr>
      <w:r>
        <w:rPr>
          <w:rFonts w:hint="eastAsia"/>
          <w:b/>
          <w:bCs/>
          <w:kern w:val="2"/>
          <w:sz w:val="20"/>
          <w:szCs w:val="20"/>
          <w:highlight w:val="none"/>
          <w:u w:val="single"/>
          <w:lang w:val="en-US" w:eastAsia="zh-CN"/>
        </w:rPr>
        <w:t>Scenario 1-4:</w:t>
      </w:r>
      <w:r>
        <w:rPr>
          <w:rFonts w:hint="eastAsia"/>
          <w:b/>
          <w:bCs/>
          <w:kern w:val="2"/>
          <w:sz w:val="20"/>
          <w:szCs w:val="20"/>
          <w:highlight w:val="none"/>
          <w:u w:val="none"/>
          <w:lang w:val="en-US" w:eastAsia="zh-CN"/>
        </w:rPr>
        <w:t xml:space="preserve"> </w:t>
      </w:r>
      <w:r>
        <w:rPr>
          <w:rFonts w:hint="eastAsia"/>
          <w:b w:val="0"/>
          <w:bCs w:val="0"/>
          <w:kern w:val="2"/>
          <w:sz w:val="20"/>
          <w:szCs w:val="20"/>
          <w:highlight w:val="none"/>
          <w:u w:val="none"/>
          <w:lang w:val="en-US" w:eastAsia="zh-CN"/>
        </w:rPr>
        <w:t>When the first PDSCH is mapping Type A and the last symbol of the PDSCH is symbol i with i &lt; 7, additional (7-i) symbols (up to 5 symbols) are added to the processing time. This scenario already exists in Rel-15.</w:t>
      </w:r>
      <w:bookmarkStart w:id="3" w:name="OLE_LINK4"/>
      <w:r>
        <w:rPr>
          <w:rFonts w:hint="eastAsia"/>
          <w:b w:val="0"/>
          <w:bCs w:val="0"/>
          <w:kern w:val="2"/>
          <w:sz w:val="20"/>
          <w:szCs w:val="20"/>
          <w:highlight w:val="none"/>
          <w:u w:val="none"/>
          <w:lang w:val="en-US" w:eastAsia="zh-CN"/>
        </w:rPr>
        <w:t xml:space="preserve"> </w:t>
      </w:r>
      <w:r>
        <w:rPr>
          <w:rFonts w:hint="eastAsia"/>
        </w:rPr>
        <w:t>We believe that gNB can avoid the occurrence of this scenario through scheduling, the same as Rel-15.</w:t>
      </w:r>
      <w:bookmarkEnd w:id="3"/>
      <w:r>
        <w:rPr>
          <w:rFonts w:hint="eastAsia" w:eastAsia="宋体"/>
          <w:lang w:val="en-US" w:eastAsia="zh-CN"/>
        </w:rPr>
        <w:t xml:space="preserve"> For instance, it is not allowed to schedule a first PDSCH with Type A with a last symbol of i=2 or 3, and followed a second PDSCH with Type B with a length of 4 symbols. This is not a big limitation.</w:t>
      </w:r>
    </w:p>
    <w:p>
      <w:pPr>
        <w:numPr>
          <w:ilvl w:val="0"/>
          <w:numId w:val="5"/>
        </w:numPr>
        <w:snapToGrid w:val="0"/>
        <w:ind w:left="840" w:hanging="420"/>
        <w:rPr>
          <w:rFonts w:hint="eastAsia"/>
          <w:b/>
          <w:bCs/>
          <w:kern w:val="2"/>
          <w:sz w:val="20"/>
          <w:szCs w:val="20"/>
          <w:highlight w:val="none"/>
          <w:u w:val="single"/>
          <w:lang w:val="en-US" w:eastAsia="zh-CN"/>
        </w:rPr>
      </w:pPr>
      <w:r>
        <w:rPr>
          <w:rFonts w:hint="eastAsia"/>
          <w:b/>
          <w:bCs/>
          <w:kern w:val="2"/>
          <w:sz w:val="20"/>
          <w:szCs w:val="20"/>
          <w:highlight w:val="none"/>
          <w:u w:val="single"/>
          <w:lang w:val="en-US" w:eastAsia="zh-CN"/>
        </w:rPr>
        <w:t>Scenario 1-5:</w:t>
      </w:r>
      <w:r>
        <w:rPr>
          <w:rFonts w:hint="eastAsia"/>
          <w:b/>
          <w:bCs/>
          <w:kern w:val="2"/>
          <w:sz w:val="20"/>
          <w:szCs w:val="20"/>
          <w:highlight w:val="none"/>
          <w:u w:val="none"/>
          <w:lang w:val="en-US" w:eastAsia="zh-CN"/>
        </w:rPr>
        <w:t xml:space="preserve"> </w:t>
      </w:r>
      <w:r>
        <w:rPr>
          <w:rFonts w:hint="eastAsia"/>
          <w:b w:val="0"/>
          <w:bCs w:val="0"/>
          <w:kern w:val="2"/>
          <w:sz w:val="20"/>
          <w:szCs w:val="20"/>
          <w:highlight w:val="none"/>
          <w:u w:val="none"/>
          <w:lang w:val="en-US" w:eastAsia="zh-CN"/>
        </w:rPr>
        <w:t xml:space="preserve">When the first PDSCH is mapping Type B, additional symbols (up to 3 symbols) may be added depending on the overlapping of PDCCH and PDSCH. This scenario already exists in Rel-15. </w:t>
      </w:r>
      <w:r>
        <w:rPr>
          <w:rFonts w:hint="eastAsia"/>
        </w:rPr>
        <w:t>We believe that gNB can avoid the occurrence of this scenario through scheduling, the same as Rel-15.</w:t>
      </w:r>
    </w:p>
    <w:p>
      <w:pPr>
        <w:numPr>
          <w:ilvl w:val="-1"/>
          <w:numId w:val="0"/>
        </w:numPr>
        <w:snapToGrid w:val="0"/>
        <w:ind w:left="0" w:firstLine="0"/>
        <w:rPr>
          <w:rFonts w:hint="eastAsia"/>
          <w:b w:val="0"/>
          <w:bCs w:val="0"/>
          <w:kern w:val="2"/>
          <w:sz w:val="20"/>
          <w:szCs w:val="20"/>
          <w:highlight w:val="none"/>
          <w:u w:val="none"/>
          <w:lang w:val="en-US" w:eastAsia="zh-CN"/>
        </w:rPr>
      </w:pPr>
      <w:r>
        <w:rPr>
          <w:rFonts w:hint="eastAsia"/>
          <w:b w:val="0"/>
          <w:bCs w:val="0"/>
          <w:kern w:val="2"/>
          <w:sz w:val="20"/>
          <w:szCs w:val="20"/>
          <w:highlight w:val="none"/>
          <w:u w:val="none"/>
          <w:lang w:val="en-US" w:eastAsia="zh-CN"/>
        </w:rPr>
        <w:t xml:space="preserve">Overall for Scenario 1, there has already specified some scheduling conditions(including gNB implementation) in Rel-15 for Scenario 1-1/1-4/1-5, and there is no motivation to relax Rel-15 configuration restrictions for Scenario 1-2/1-3. Thus, there is no need to further study Scenario 1 </w:t>
      </w:r>
      <w:r>
        <w:rPr>
          <w:lang w:eastAsia="zh-CN"/>
        </w:rPr>
        <w:t>for the handling of two unicast PDSCHs</w:t>
      </w:r>
      <w:r>
        <w:rPr>
          <w:rFonts w:hint="eastAsia"/>
          <w:b w:val="0"/>
          <w:bCs w:val="0"/>
          <w:kern w:val="2"/>
          <w:sz w:val="20"/>
          <w:szCs w:val="20"/>
          <w:highlight w:val="none"/>
          <w:u w:val="none"/>
          <w:lang w:val="en-US" w:eastAsia="zh-CN"/>
        </w:rPr>
        <w:t xml:space="preserve">. </w:t>
      </w:r>
    </w:p>
    <w:p>
      <w:pPr>
        <w:snapToGrid w:val="0"/>
        <w:spacing w:before="180" w:beforeLines="50" w:after="120"/>
        <w:rPr>
          <w:rFonts w:hint="eastAsia" w:eastAsiaTheme="minorEastAsia"/>
          <w:b w:val="0"/>
          <w:bCs w:val="0"/>
          <w:i/>
          <w:iCs/>
          <w:lang w:val="en-US" w:eastAsia="zh-CN"/>
        </w:rPr>
      </w:pPr>
      <w:r>
        <w:rPr>
          <w:rFonts w:hint="eastAsia" w:eastAsiaTheme="minorEastAsia"/>
          <w:b/>
          <w:bCs/>
          <w:i/>
          <w:iCs/>
          <w:lang w:val="en-US" w:eastAsia="zh-CN"/>
        </w:rPr>
        <w:t xml:space="preserve">Proposal 1: </w:t>
      </w:r>
      <w:r>
        <w:rPr>
          <w:rFonts w:hint="eastAsia" w:eastAsiaTheme="minorEastAsia"/>
          <w:b w:val="0"/>
          <w:bCs w:val="0"/>
          <w:i/>
          <w:iCs/>
          <w:lang w:val="en-US" w:eastAsia="zh-CN"/>
        </w:rPr>
        <w:t xml:space="preserve">Do not study Scenario 1 </w:t>
      </w:r>
      <w:r>
        <w:rPr>
          <w:i/>
          <w:iCs/>
          <w:lang w:eastAsia="zh-CN"/>
        </w:rPr>
        <w:t>for the handling of two unicast PDSCHs</w:t>
      </w:r>
      <w:r>
        <w:rPr>
          <w:rFonts w:hint="eastAsia"/>
          <w:i/>
          <w:iCs/>
          <w:lang w:val="en-US" w:eastAsia="zh-CN"/>
        </w:rPr>
        <w:t xml:space="preserve">, where </w:t>
      </w:r>
      <w:r>
        <w:rPr>
          <w:rFonts w:hint="eastAsia" w:eastAsiaTheme="minorEastAsia"/>
          <w:b w:val="0"/>
          <w:bCs w:val="0"/>
          <w:i/>
          <w:iCs/>
          <w:lang w:val="en-US" w:eastAsia="zh-CN"/>
        </w:rPr>
        <w:t>Scenario 1 is defined as,</w:t>
      </w:r>
    </w:p>
    <w:p>
      <w:pPr>
        <w:numPr>
          <w:ilvl w:val="1"/>
          <w:numId w:val="5"/>
        </w:numPr>
        <w:snapToGrid w:val="0"/>
        <w:spacing w:before="180" w:beforeLines="50"/>
        <w:ind w:left="840" w:hanging="420"/>
        <w:rPr>
          <w:rFonts w:hint="default" w:eastAsiaTheme="minorEastAsia"/>
          <w:b/>
          <w:bCs/>
          <w:i/>
          <w:iCs/>
          <w:lang w:val="en-US" w:eastAsia="zh-CN"/>
        </w:rPr>
      </w:pPr>
      <w:r>
        <w:rPr>
          <w:rFonts w:hint="eastAsia"/>
          <w:b w:val="0"/>
          <w:bCs w:val="0"/>
          <w:i/>
          <w:iCs/>
          <w:kern w:val="2"/>
          <w:highlight w:val="none"/>
          <w:u w:val="none"/>
          <w:lang w:val="en-US" w:eastAsia="zh-CN"/>
        </w:rPr>
        <w:t>different DL processing times are associated with different PDSCHs on the same serving cell and the two PDSCHs are non-overlapping</w:t>
      </w:r>
      <w:r>
        <w:rPr>
          <w:rFonts w:hint="eastAsia"/>
          <w:i/>
          <w:iCs/>
          <w:kern w:val="2"/>
          <w:highlight w:val="none"/>
          <w:u w:val="none"/>
          <w:lang w:val="en-US" w:eastAsia="zh-CN"/>
        </w:rPr>
        <w:t xml:space="preserve">. </w:t>
      </w:r>
    </w:p>
    <w:p>
      <w:pPr>
        <w:numPr>
          <w:ilvl w:val="0"/>
          <w:numId w:val="4"/>
        </w:numPr>
        <w:snapToGrid w:val="0"/>
        <w:ind w:left="420" w:leftChars="0" w:hanging="420" w:firstLineChars="0"/>
        <w:rPr>
          <w:rFonts w:hint="eastAsia"/>
          <w:kern w:val="2"/>
          <w:u w:val="single"/>
          <w:lang w:val="en-US" w:eastAsia="zh-CN"/>
        </w:rPr>
      </w:pPr>
      <w:r>
        <w:rPr>
          <w:rFonts w:hint="eastAsia"/>
          <w:b/>
          <w:bCs/>
          <w:kern w:val="2"/>
          <w:shd w:val="clear" w:color="auto" w:fill="auto"/>
          <w:lang w:val="en-US" w:eastAsia="zh-CN"/>
        </w:rPr>
        <w:t>Scenario 2:</w:t>
      </w:r>
      <w:r>
        <w:rPr>
          <w:rFonts w:hint="eastAsia"/>
          <w:kern w:val="2"/>
          <w:u w:val="single"/>
          <w:lang w:val="en-US" w:eastAsia="zh-CN"/>
        </w:rPr>
        <w:t xml:space="preserve"> </w:t>
      </w:r>
      <w:r>
        <w:rPr>
          <w:u w:val="single"/>
          <w:lang w:eastAsia="zh-CN"/>
        </w:rPr>
        <w:t xml:space="preserve">When the </w:t>
      </w:r>
      <w:r>
        <w:rPr>
          <w:highlight w:val="none"/>
          <w:u w:val="single"/>
          <w:lang w:eastAsia="zh-CN"/>
        </w:rPr>
        <w:t xml:space="preserve">same </w:t>
      </w:r>
      <w:r>
        <w:rPr>
          <w:u w:val="single"/>
          <w:lang w:eastAsia="zh-CN"/>
        </w:rPr>
        <w:t>DL processing time is configured on the same serving cell, and the two PDSCHs are non-overlapping, and the PDSCH-to-PUCCHs are out of order</w:t>
      </w:r>
    </w:p>
    <w:p>
      <w:pPr>
        <w:snapToGrid w:val="0"/>
        <w:rPr>
          <w:rFonts w:hint="eastAsia"/>
          <w:kern w:val="2"/>
          <w:lang w:val="en-US" w:eastAsia="zh-CN"/>
        </w:rPr>
      </w:pPr>
      <w:r>
        <w:rPr>
          <w:rFonts w:hint="eastAsia"/>
          <w:kern w:val="2"/>
          <w:lang w:val="en-US" w:eastAsia="zh-CN"/>
        </w:rPr>
        <w:t>There is no UE processing pipeline issue for this scenario, and the in-order PDSCH-to-HARQ-ACK is already handled in Rel-15. For the OoO HARQ-ACK case, the UE only needs to buffer the ACK/NACK for the first PDSCH and transmits it later. We don</w:t>
      </w:r>
      <w:r>
        <w:rPr>
          <w:rFonts w:hint="default"/>
          <w:kern w:val="2"/>
          <w:lang w:val="en-US" w:eastAsia="zh-CN"/>
        </w:rPr>
        <w:t>’</w:t>
      </w:r>
      <w:r>
        <w:rPr>
          <w:rFonts w:hint="eastAsia"/>
          <w:kern w:val="2"/>
          <w:lang w:val="en-US" w:eastAsia="zh-CN"/>
        </w:rPr>
        <w:t>t think it is a big issue for the UE implementation.</w:t>
      </w:r>
    </w:p>
    <w:p>
      <w:pPr>
        <w:snapToGrid w:val="0"/>
        <w:spacing w:before="180" w:beforeLines="50" w:after="120"/>
        <w:rPr>
          <w:rFonts w:hint="eastAsia" w:eastAsiaTheme="minorEastAsia"/>
          <w:b w:val="0"/>
          <w:bCs w:val="0"/>
          <w:i/>
          <w:iCs/>
          <w:lang w:val="en-US" w:eastAsia="zh-CN"/>
        </w:rPr>
      </w:pPr>
      <w:r>
        <w:rPr>
          <w:rFonts w:hint="eastAsia" w:eastAsiaTheme="minorEastAsia"/>
          <w:b/>
          <w:bCs/>
          <w:i/>
          <w:iCs/>
          <w:lang w:val="en-US" w:eastAsia="zh-CN"/>
        </w:rPr>
        <w:t xml:space="preserve">Proposal 2: </w:t>
      </w:r>
      <w:r>
        <w:rPr>
          <w:rFonts w:hint="eastAsia" w:eastAsiaTheme="minorEastAsia"/>
          <w:b w:val="0"/>
          <w:bCs w:val="0"/>
          <w:i/>
          <w:iCs/>
          <w:lang w:val="en-US" w:eastAsia="zh-CN"/>
        </w:rPr>
        <w:t xml:space="preserve">Do not study Scenario 2 </w:t>
      </w:r>
      <w:r>
        <w:rPr>
          <w:i/>
          <w:iCs/>
          <w:lang w:eastAsia="zh-CN"/>
        </w:rPr>
        <w:t>for the handling of two unicast PDSCHs</w:t>
      </w:r>
      <w:r>
        <w:rPr>
          <w:rFonts w:hint="eastAsia"/>
          <w:i/>
          <w:iCs/>
          <w:lang w:val="en-US" w:eastAsia="zh-CN"/>
        </w:rPr>
        <w:t xml:space="preserve">, where </w:t>
      </w:r>
      <w:r>
        <w:rPr>
          <w:rFonts w:hint="eastAsia" w:eastAsiaTheme="minorEastAsia"/>
          <w:b w:val="0"/>
          <w:bCs w:val="0"/>
          <w:i/>
          <w:iCs/>
          <w:lang w:val="en-US" w:eastAsia="zh-CN"/>
        </w:rPr>
        <w:t>Scenario 2 is defined as,</w:t>
      </w:r>
    </w:p>
    <w:p>
      <w:pPr>
        <w:numPr>
          <w:ilvl w:val="1"/>
          <w:numId w:val="5"/>
        </w:numPr>
        <w:snapToGrid w:val="0"/>
        <w:spacing w:before="180" w:beforeLines="50"/>
        <w:ind w:left="840" w:hanging="420"/>
        <w:rPr>
          <w:rFonts w:hint="default" w:eastAsiaTheme="minorEastAsia"/>
          <w:b/>
          <w:bCs/>
          <w:i/>
          <w:iCs/>
          <w:lang w:val="en-US" w:eastAsia="zh-CN"/>
        </w:rPr>
      </w:pPr>
      <w:r>
        <w:rPr>
          <w:rFonts w:hint="eastAsia"/>
          <w:i/>
          <w:iCs/>
          <w:u w:val="none"/>
          <w:lang w:val="en-US" w:eastAsia="zh-CN"/>
        </w:rPr>
        <w:t>w</w:t>
      </w:r>
      <w:r>
        <w:rPr>
          <w:i/>
          <w:iCs/>
          <w:u w:val="none"/>
          <w:lang w:eastAsia="zh-CN"/>
        </w:rPr>
        <w:t xml:space="preserve">hen the </w:t>
      </w:r>
      <w:r>
        <w:rPr>
          <w:i/>
          <w:iCs/>
          <w:highlight w:val="none"/>
          <w:u w:val="none"/>
          <w:lang w:eastAsia="zh-CN"/>
        </w:rPr>
        <w:t xml:space="preserve">same </w:t>
      </w:r>
      <w:r>
        <w:rPr>
          <w:i/>
          <w:iCs/>
          <w:u w:val="none"/>
          <w:lang w:eastAsia="zh-CN"/>
        </w:rPr>
        <w:t>DL processing time is configured on the same serving cell, and the two PDSCHs are non-overlapping, and the PDSCH-to-PUCCHs are out of order</w:t>
      </w:r>
    </w:p>
    <w:p>
      <w:pPr>
        <w:numPr>
          <w:ilvl w:val="0"/>
          <w:numId w:val="4"/>
        </w:numPr>
        <w:snapToGrid w:val="0"/>
        <w:ind w:left="420" w:leftChars="0" w:hanging="420" w:firstLineChars="0"/>
        <w:rPr>
          <w:rFonts w:hint="eastAsia"/>
          <w:kern w:val="2"/>
          <w:u w:val="single"/>
          <w:lang w:val="en-US" w:eastAsia="zh-CN"/>
        </w:rPr>
      </w:pPr>
      <w:r>
        <w:rPr>
          <w:rFonts w:hint="eastAsia"/>
          <w:b/>
          <w:bCs/>
          <w:kern w:val="2"/>
          <w:shd w:val="clear" w:color="auto" w:fill="auto"/>
          <w:lang w:val="en-US" w:eastAsia="zh-CN"/>
        </w:rPr>
        <w:t xml:space="preserve">Scenario 3: </w:t>
      </w:r>
      <w:r>
        <w:rPr>
          <w:u w:val="single"/>
          <w:lang w:eastAsia="zh-CN"/>
        </w:rPr>
        <w:t>The two unicast PDSCHs are overlapping at least in the time domain, regardless of whether the same or different DL processing times is configured on the same serving cell</w:t>
      </w:r>
      <w:r>
        <w:rPr>
          <w:rFonts w:hint="eastAsia"/>
          <w:kern w:val="2"/>
          <w:u w:val="single"/>
          <w:lang w:val="en-US" w:eastAsia="zh-CN"/>
        </w:rPr>
        <w:t xml:space="preserve">. </w:t>
      </w:r>
    </w:p>
    <w:p>
      <w:pPr>
        <w:pStyle w:val="106"/>
        <w:numPr>
          <w:ilvl w:val="0"/>
          <w:numId w:val="0"/>
        </w:numPr>
        <w:spacing w:after="160" w:line="252" w:lineRule="auto"/>
        <w:jc w:val="both"/>
        <w:rPr>
          <w:rFonts w:ascii="Times New Roman" w:hAnsi="Times New Roman" w:eastAsia="Times New Roman"/>
          <w:i w:val="0"/>
          <w:iCs w:val="0"/>
          <w:sz w:val="20"/>
        </w:rPr>
      </w:pPr>
      <w:r>
        <w:rPr>
          <w:rFonts w:hint="eastAsia"/>
          <w:kern w:val="2"/>
          <w:lang w:val="en-US" w:eastAsia="zh-CN"/>
        </w:rPr>
        <w:t>This is the mai</w:t>
      </w:r>
      <w:r>
        <w:rPr>
          <w:rFonts w:hint="eastAsia"/>
          <w:i w:val="0"/>
          <w:iCs w:val="0"/>
          <w:kern w:val="2"/>
          <w:lang w:val="en-US" w:eastAsia="zh-CN"/>
        </w:rPr>
        <w:t xml:space="preserve">n scenario for pipeline issue, and </w:t>
      </w:r>
      <w:r>
        <w:rPr>
          <w:rFonts w:ascii="Times New Roman" w:hAnsi="Times New Roman" w:eastAsia="Times New Roman"/>
          <w:i w:val="0"/>
          <w:iCs w:val="0"/>
          <w:sz w:val="20"/>
          <w:lang w:val="en-GB"/>
        </w:rPr>
        <w:t xml:space="preserve">the following </w:t>
      </w:r>
      <w:r>
        <w:rPr>
          <w:rFonts w:hint="eastAsia" w:ascii="Times New Roman" w:hAnsi="Times New Roman" w:eastAsia="宋体"/>
          <w:i w:val="0"/>
          <w:iCs w:val="0"/>
          <w:sz w:val="20"/>
          <w:lang w:val="en-US" w:eastAsia="zh-CN"/>
        </w:rPr>
        <w:t>sub-</w:t>
      </w:r>
      <w:r>
        <w:rPr>
          <w:rFonts w:ascii="Times New Roman" w:hAnsi="Times New Roman" w:eastAsia="Times New Roman"/>
          <w:i w:val="0"/>
          <w:iCs w:val="0"/>
          <w:sz w:val="20"/>
          <w:lang w:val="en-GB"/>
        </w:rPr>
        <w:t xml:space="preserve">scenarios </w:t>
      </w:r>
      <w:r>
        <w:rPr>
          <w:rFonts w:hint="eastAsia" w:eastAsia="宋体"/>
          <w:i w:val="0"/>
          <w:iCs w:val="0"/>
          <w:sz w:val="20"/>
          <w:lang w:val="en-US" w:eastAsia="zh-CN"/>
        </w:rPr>
        <w:t>were agreed before</w:t>
      </w:r>
      <w:r>
        <w:rPr>
          <w:rFonts w:ascii="Times New Roman" w:hAnsi="Times New Roman" w:eastAsia="Times New Roman"/>
          <w:i w:val="0"/>
          <w:iCs w:val="0"/>
          <w:sz w:val="20"/>
          <w:lang w:val="en-GB"/>
        </w:rPr>
        <w:t>:</w:t>
      </w:r>
    </w:p>
    <w:p>
      <w:pPr>
        <w:numPr>
          <w:ilvl w:val="0"/>
          <w:numId w:val="5"/>
        </w:numPr>
        <w:snapToGrid w:val="0"/>
        <w:ind w:left="840" w:hanging="420"/>
        <w:rPr>
          <w:rFonts w:hint="eastAsia"/>
          <w:b w:val="0"/>
          <w:bCs w:val="0"/>
          <w:kern w:val="2"/>
          <w:sz w:val="20"/>
          <w:szCs w:val="20"/>
          <w:highlight w:val="none"/>
          <w:u w:val="single"/>
          <w:lang w:val="en-US" w:eastAsia="zh-CN"/>
        </w:rPr>
      </w:pPr>
      <w:r>
        <w:rPr>
          <w:rFonts w:hint="eastAsia"/>
          <w:b w:val="0"/>
          <w:bCs w:val="0"/>
          <w:kern w:val="2"/>
          <w:sz w:val="20"/>
          <w:szCs w:val="20"/>
          <w:highlight w:val="none"/>
          <w:u w:val="single"/>
          <w:lang w:val="en-GB" w:eastAsia="zh-CN"/>
        </w:rPr>
        <w:t xml:space="preserve">Scenario </w:t>
      </w:r>
      <w:r>
        <w:rPr>
          <w:rFonts w:hint="eastAsia"/>
          <w:b w:val="0"/>
          <w:bCs w:val="0"/>
          <w:kern w:val="2"/>
          <w:sz w:val="20"/>
          <w:szCs w:val="20"/>
          <w:highlight w:val="none"/>
          <w:u w:val="single"/>
          <w:lang w:val="en-US" w:eastAsia="zh-CN"/>
        </w:rPr>
        <w:t>3</w:t>
      </w:r>
      <w:r>
        <w:rPr>
          <w:rFonts w:hint="eastAsia"/>
          <w:b w:val="0"/>
          <w:bCs w:val="0"/>
          <w:kern w:val="2"/>
          <w:sz w:val="20"/>
          <w:szCs w:val="20"/>
          <w:highlight w:val="none"/>
          <w:u w:val="single"/>
          <w:lang w:val="en-GB" w:eastAsia="zh-CN"/>
        </w:rPr>
        <w:t xml:space="preserve">-1: </w:t>
      </w:r>
      <w:r>
        <w:rPr>
          <w:rFonts w:hint="eastAsia"/>
          <w:b w:val="0"/>
          <w:bCs w:val="0"/>
          <w:kern w:val="2"/>
          <w:sz w:val="20"/>
          <w:szCs w:val="20"/>
          <w:highlight w:val="none"/>
          <w:u w:val="none"/>
          <w:lang w:val="en-GB" w:eastAsia="zh-CN"/>
        </w:rPr>
        <w:t>Overlapping in the time domain and not in the frequency domain</w:t>
      </w:r>
    </w:p>
    <w:p>
      <w:pPr>
        <w:numPr>
          <w:ilvl w:val="0"/>
          <w:numId w:val="5"/>
        </w:numPr>
        <w:snapToGrid w:val="0"/>
        <w:ind w:left="840" w:hanging="420"/>
        <w:rPr>
          <w:rFonts w:ascii="Times New Roman" w:hAnsi="Times New Roman" w:eastAsia="Times New Roman"/>
          <w:i w:val="0"/>
          <w:iCs w:val="0"/>
          <w:sz w:val="20"/>
        </w:rPr>
      </w:pPr>
      <w:r>
        <w:rPr>
          <w:rFonts w:hint="eastAsia"/>
          <w:b w:val="0"/>
          <w:bCs w:val="0"/>
          <w:kern w:val="2"/>
          <w:sz w:val="20"/>
          <w:szCs w:val="20"/>
          <w:highlight w:val="none"/>
          <w:u w:val="single"/>
          <w:lang w:val="en-GB" w:eastAsia="zh-CN"/>
        </w:rPr>
        <w:t>Scen</w:t>
      </w:r>
      <w:r>
        <w:rPr>
          <w:rFonts w:ascii="Times New Roman" w:hAnsi="Times New Roman" w:eastAsia="Times New Roman"/>
          <w:b w:val="0"/>
          <w:bCs w:val="0"/>
          <w:i w:val="0"/>
          <w:iCs w:val="0"/>
          <w:sz w:val="20"/>
          <w:u w:val="single"/>
          <w:lang w:val="en-GB"/>
        </w:rPr>
        <w:t xml:space="preserve">ario </w:t>
      </w:r>
      <w:r>
        <w:rPr>
          <w:rFonts w:hint="eastAsia" w:ascii="Times New Roman" w:hAnsi="Times New Roman" w:eastAsia="宋体"/>
          <w:b w:val="0"/>
          <w:bCs w:val="0"/>
          <w:i w:val="0"/>
          <w:iCs w:val="0"/>
          <w:sz w:val="20"/>
          <w:u w:val="single"/>
          <w:lang w:val="en-US" w:eastAsia="zh-CN"/>
        </w:rPr>
        <w:t>3</w:t>
      </w:r>
      <w:r>
        <w:rPr>
          <w:rFonts w:ascii="Times New Roman" w:hAnsi="Times New Roman" w:eastAsia="Times New Roman"/>
          <w:b w:val="0"/>
          <w:bCs w:val="0"/>
          <w:i w:val="0"/>
          <w:iCs w:val="0"/>
          <w:sz w:val="20"/>
          <w:u w:val="single"/>
          <w:lang w:val="en-GB"/>
        </w:rPr>
        <w:t>-2:</w:t>
      </w:r>
      <w:r>
        <w:rPr>
          <w:rFonts w:ascii="Times New Roman" w:hAnsi="Times New Roman" w:eastAsia="Times New Roman"/>
          <w:b w:val="0"/>
          <w:bCs w:val="0"/>
          <w:i w:val="0"/>
          <w:iCs w:val="0"/>
          <w:sz w:val="20"/>
          <w:lang w:val="en-GB"/>
        </w:rPr>
        <w:t xml:space="preserve"> </w:t>
      </w:r>
      <w:r>
        <w:rPr>
          <w:rFonts w:ascii="Times New Roman" w:hAnsi="Times New Roman" w:eastAsia="Times New Roman"/>
          <w:i w:val="0"/>
          <w:iCs w:val="0"/>
          <w:sz w:val="20"/>
          <w:lang w:val="en-GB"/>
        </w:rPr>
        <w:t>Overlapping both in the time and frequency domains</w:t>
      </w:r>
    </w:p>
    <w:p>
      <w:pPr>
        <w:numPr>
          <w:ilvl w:val="-1"/>
          <w:numId w:val="0"/>
        </w:numPr>
        <w:snapToGrid w:val="0"/>
        <w:spacing w:before="180" w:beforeLines="50" w:after="120"/>
        <w:ind w:left="0" w:firstLine="0"/>
        <w:rPr>
          <w:rFonts w:hint="default"/>
          <w:i/>
          <w:iCs/>
          <w:lang w:val="en-US" w:eastAsia="zh-CN"/>
        </w:rPr>
      </w:pPr>
      <w:r>
        <w:rPr>
          <w:rFonts w:hint="eastAsia" w:eastAsiaTheme="minorEastAsia"/>
          <w:b/>
          <w:bCs/>
          <w:i/>
          <w:iCs/>
          <w:lang w:val="en-US" w:eastAsia="zh-CN"/>
        </w:rPr>
        <w:t xml:space="preserve">Proposal 3: </w:t>
      </w:r>
      <w:r>
        <w:rPr>
          <w:rFonts w:hint="eastAsia" w:eastAsiaTheme="minorEastAsia"/>
          <w:b w:val="0"/>
          <w:bCs w:val="0"/>
          <w:i/>
          <w:iCs/>
          <w:lang w:val="en-US" w:eastAsia="zh-CN"/>
        </w:rPr>
        <w:t xml:space="preserve">Further study Scenario 3 </w:t>
      </w:r>
      <w:r>
        <w:rPr>
          <w:i/>
          <w:iCs/>
          <w:lang w:eastAsia="zh-CN"/>
        </w:rPr>
        <w:t>for the handling of two unicast PDSCHs</w:t>
      </w:r>
      <w:r>
        <w:rPr>
          <w:rFonts w:hint="eastAsia"/>
          <w:i/>
          <w:iCs/>
          <w:lang w:val="en-US" w:eastAsia="zh-CN"/>
        </w:rPr>
        <w:t xml:space="preserve">, where </w:t>
      </w:r>
      <w:r>
        <w:rPr>
          <w:rFonts w:hint="eastAsia" w:eastAsiaTheme="minorEastAsia"/>
          <w:b w:val="0"/>
          <w:bCs w:val="0"/>
          <w:i/>
          <w:iCs/>
          <w:lang w:val="en-US" w:eastAsia="zh-CN"/>
        </w:rPr>
        <w:t>Scenario 3 is defined as,</w:t>
      </w:r>
    </w:p>
    <w:p>
      <w:pPr>
        <w:numPr>
          <w:ilvl w:val="1"/>
          <w:numId w:val="5"/>
        </w:numPr>
        <w:snapToGrid w:val="0"/>
        <w:spacing w:before="180" w:beforeLines="50"/>
        <w:ind w:left="840" w:hanging="420"/>
        <w:rPr>
          <w:rFonts w:hint="default"/>
          <w:i/>
          <w:iCs/>
          <w:sz w:val="21"/>
          <w:szCs w:val="22"/>
          <w:u w:val="none"/>
          <w:lang w:val="en-US" w:eastAsia="zh-CN"/>
        </w:rPr>
      </w:pPr>
      <w:r>
        <w:rPr>
          <w:rFonts w:hint="eastAsia"/>
          <w:i/>
          <w:iCs/>
          <w:sz w:val="21"/>
          <w:szCs w:val="22"/>
          <w:u w:val="none"/>
          <w:lang w:val="en-US" w:eastAsia="zh-CN"/>
        </w:rPr>
        <w:t>t</w:t>
      </w:r>
      <w:r>
        <w:rPr>
          <w:i/>
          <w:iCs/>
          <w:sz w:val="21"/>
          <w:szCs w:val="22"/>
          <w:u w:val="none"/>
          <w:lang w:eastAsia="zh-CN"/>
        </w:rPr>
        <w:t>he two unicast PDSCHs are overlapping at least in the time domain, regardless of whether the same or different DL processing times is configured on the same serving cell</w:t>
      </w:r>
      <w:r>
        <w:rPr>
          <w:rFonts w:hint="default"/>
          <w:i/>
          <w:iCs/>
          <w:kern w:val="0"/>
          <w:sz w:val="21"/>
          <w:szCs w:val="22"/>
          <w:u w:val="none"/>
          <w:lang w:val="en-US" w:eastAsia="zh-CN"/>
        </w:rPr>
        <w:t xml:space="preserve">. </w:t>
      </w:r>
    </w:p>
    <w:p>
      <w:pPr>
        <w:numPr>
          <w:ilvl w:val="0"/>
          <w:numId w:val="4"/>
        </w:numPr>
        <w:snapToGrid w:val="0"/>
        <w:ind w:left="420" w:hanging="420"/>
        <w:rPr>
          <w:sz w:val="20"/>
          <w:szCs w:val="20"/>
        </w:rPr>
      </w:pPr>
      <w:r>
        <w:rPr>
          <w:rFonts w:hint="eastAsia"/>
          <w:b/>
          <w:bCs/>
          <w:kern w:val="2"/>
          <w:sz w:val="20"/>
          <w:szCs w:val="20"/>
          <w:shd w:val="clear" w:color="auto" w:fill="auto"/>
          <w:lang w:val="en-US" w:eastAsia="zh-CN"/>
        </w:rPr>
        <w:t>Scenario 4:</w:t>
      </w:r>
      <w:r>
        <w:rPr>
          <w:rFonts w:hint="eastAsia"/>
          <w:b w:val="0"/>
          <w:bCs w:val="0"/>
          <w:kern w:val="2"/>
          <w:sz w:val="20"/>
          <w:szCs w:val="20"/>
          <w:u w:val="single"/>
          <w:shd w:val="clear" w:color="auto" w:fill="auto"/>
          <w:lang w:val="en-US" w:eastAsia="zh-CN"/>
        </w:rPr>
        <w:t xml:space="preserve"> Three consecutive PDSCHs, in which the first two PDSCHs overlap at least in the time domain and non-overlap with the third PDSCH. </w:t>
      </w:r>
    </w:p>
    <w:p>
      <w:pPr>
        <w:snapToGrid w:val="0"/>
        <w:rPr>
          <w:rFonts w:hint="default" w:eastAsia="宋体"/>
          <w:kern w:val="2"/>
          <w:lang w:val="en-US" w:eastAsia="zh-CN"/>
        </w:rPr>
      </w:pPr>
      <w:r>
        <w:rPr>
          <w:rFonts w:hint="eastAsia"/>
          <w:kern w:val="2"/>
          <w:lang w:val="en-US" w:eastAsia="zh-CN"/>
        </w:rPr>
        <w:t>The above mentioned scenarios all focus on two PDSCHs. Maybe we should also take a look into the case with three PDSCHs. Figure-1 gives such an example, where PDSCH1 and PDSCH2 are associated with the same processing time, and overlap each other in the time domain. A third PDSCH with the same processing time doesn</w:t>
      </w:r>
      <w:r>
        <w:rPr>
          <w:rFonts w:hint="default"/>
          <w:kern w:val="2"/>
          <w:lang w:val="en-US" w:eastAsia="zh-CN"/>
        </w:rPr>
        <w:t>’</w:t>
      </w:r>
      <w:r>
        <w:rPr>
          <w:rFonts w:hint="eastAsia"/>
          <w:kern w:val="2"/>
          <w:lang w:val="en-US" w:eastAsia="zh-CN"/>
        </w:rPr>
        <w:t xml:space="preserve">t overlap with these two overlapping PDSCHs. Depending on the solution for the two overlapping PDSCHs, it may cause some pipeline issues for PDSCH2 and PDSCH3. For example, if Solution 4-2 is adopted, additional </w:t>
      </w:r>
      <w:r>
        <w:rPr>
          <w:rFonts w:hint="eastAsia"/>
          <w:i/>
          <w:iCs/>
          <w:kern w:val="2"/>
          <w:lang w:val="en-US" w:eastAsia="zh-CN"/>
        </w:rPr>
        <w:t>d</w:t>
      </w:r>
      <w:r>
        <w:rPr>
          <w:rFonts w:hint="eastAsia"/>
          <w:kern w:val="2"/>
          <w:lang w:val="en-US" w:eastAsia="zh-CN"/>
        </w:rPr>
        <w:t xml:space="preserve"> symbols are </w:t>
      </w:r>
      <w:r>
        <w:rPr>
          <w:bCs/>
          <w:iCs/>
        </w:rPr>
        <w:t>increas</w:t>
      </w:r>
      <w:r>
        <w:rPr>
          <w:rFonts w:hint="eastAsia" w:eastAsia="宋体"/>
          <w:bCs/>
          <w:iCs/>
          <w:lang w:val="en-US" w:eastAsia="zh-CN"/>
        </w:rPr>
        <w:t>ed to</w:t>
      </w:r>
      <w:r>
        <w:rPr>
          <w:bCs/>
          <w:iCs/>
        </w:rPr>
        <w:t xml:space="preserve"> the minimum PDSCH processing procedure time (N1) of the second PDSCH </w:t>
      </w:r>
      <w:r>
        <w:rPr>
          <w:rFonts w:hint="eastAsia" w:eastAsia="宋体"/>
          <w:bCs/>
          <w:iCs/>
          <w:lang w:val="en-US" w:eastAsia="zh-CN"/>
        </w:rPr>
        <w:t>due to the dropping process of the first PDSCH. It may make the PDSCH2 has a longer processing time than PDSCH3 which may lead to pipeline issue between PDSCH2 and PDSCH3. Therefore, further investigation may be needed.</w:t>
      </w:r>
    </w:p>
    <w:p>
      <w:pPr>
        <w:snapToGrid w:val="0"/>
        <w:jc w:val="center"/>
      </w:pPr>
      <w:r>
        <w:drawing>
          <wp:inline distT="0" distB="0" distL="114300" distR="114300">
            <wp:extent cx="3173095" cy="789305"/>
            <wp:effectExtent l="0" t="0" r="8255" b="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5"/>
                    <a:stretch>
                      <a:fillRect/>
                    </a:stretch>
                  </pic:blipFill>
                  <pic:spPr>
                    <a:xfrm>
                      <a:off x="0" y="0"/>
                      <a:ext cx="3173095" cy="789305"/>
                    </a:xfrm>
                    <a:prstGeom prst="rect">
                      <a:avLst/>
                    </a:prstGeom>
                    <a:noFill/>
                    <a:ln>
                      <a:noFill/>
                    </a:ln>
                  </pic:spPr>
                </pic:pic>
              </a:graphicData>
            </a:graphic>
          </wp:inline>
        </w:drawing>
      </w:r>
    </w:p>
    <w:p>
      <w:pPr>
        <w:snapToGrid w:val="0"/>
        <w:jc w:val="center"/>
        <w:rPr>
          <w:rFonts w:hint="eastAsia" w:eastAsia="宋体"/>
          <w:b/>
          <w:bCs/>
          <w:lang w:val="en-US" w:eastAsia="zh-CN"/>
        </w:rPr>
      </w:pPr>
      <w:r>
        <w:rPr>
          <w:rFonts w:hint="eastAsia" w:eastAsia="宋体"/>
          <w:b/>
          <w:bCs/>
          <w:lang w:val="en-US" w:eastAsia="zh-CN"/>
        </w:rPr>
        <w:t>Figure 1: An example of Scenario 4</w:t>
      </w:r>
    </w:p>
    <w:p>
      <w:pPr>
        <w:numPr>
          <w:ilvl w:val="-1"/>
          <w:numId w:val="0"/>
        </w:numPr>
        <w:snapToGrid w:val="0"/>
        <w:spacing w:before="180" w:beforeLines="50" w:after="120"/>
        <w:ind w:left="0" w:firstLine="0"/>
        <w:rPr>
          <w:rFonts w:hint="eastAsia" w:eastAsiaTheme="minorEastAsia"/>
          <w:b w:val="0"/>
          <w:bCs w:val="0"/>
          <w:i/>
          <w:iCs/>
          <w:lang w:val="en-US" w:eastAsia="zh-CN"/>
        </w:rPr>
      </w:pPr>
      <w:r>
        <w:rPr>
          <w:rFonts w:hint="eastAsia" w:eastAsiaTheme="minorEastAsia"/>
          <w:b/>
          <w:bCs/>
          <w:i/>
          <w:iCs/>
          <w:lang w:val="en-US" w:eastAsia="zh-CN"/>
        </w:rPr>
        <w:t xml:space="preserve">Proposal 4: </w:t>
      </w:r>
      <w:r>
        <w:rPr>
          <w:rFonts w:hint="eastAsia" w:eastAsiaTheme="minorEastAsia"/>
          <w:b w:val="0"/>
          <w:bCs w:val="0"/>
          <w:i/>
          <w:iCs/>
          <w:lang w:val="en-US" w:eastAsia="zh-CN"/>
        </w:rPr>
        <w:t xml:space="preserve">Further study </w:t>
      </w:r>
      <w:r>
        <w:rPr>
          <w:i/>
          <w:iCs/>
          <w:lang w:eastAsia="zh-CN"/>
        </w:rPr>
        <w:t>whether/how to support</w:t>
      </w:r>
      <w:r>
        <w:rPr>
          <w:rFonts w:hint="eastAsia"/>
          <w:i/>
          <w:iCs/>
          <w:lang w:val="en-US" w:eastAsia="zh-CN"/>
        </w:rPr>
        <w:t xml:space="preserve"> </w:t>
      </w:r>
      <w:r>
        <w:rPr>
          <w:rFonts w:hint="eastAsia" w:eastAsiaTheme="minorEastAsia"/>
          <w:b w:val="0"/>
          <w:bCs w:val="0"/>
          <w:i/>
          <w:iCs/>
          <w:lang w:val="en-US" w:eastAsia="zh-CN"/>
        </w:rPr>
        <w:t xml:space="preserve">Scenario 4 </w:t>
      </w:r>
      <w:r>
        <w:rPr>
          <w:i/>
          <w:iCs/>
          <w:lang w:eastAsia="zh-CN"/>
        </w:rPr>
        <w:t>for the handling of two unicast PDSCHs</w:t>
      </w:r>
      <w:r>
        <w:rPr>
          <w:rFonts w:hint="eastAsia"/>
          <w:i/>
          <w:iCs/>
          <w:lang w:val="en-US" w:eastAsia="zh-CN"/>
        </w:rPr>
        <w:t xml:space="preserve">, where </w:t>
      </w:r>
      <w:r>
        <w:rPr>
          <w:rFonts w:hint="eastAsia" w:eastAsiaTheme="minorEastAsia"/>
          <w:b w:val="0"/>
          <w:bCs w:val="0"/>
          <w:i/>
          <w:iCs/>
          <w:lang w:val="en-US" w:eastAsia="zh-CN"/>
        </w:rPr>
        <w:t>Scenario 4 is defined as,</w:t>
      </w:r>
    </w:p>
    <w:p>
      <w:pPr>
        <w:numPr>
          <w:ilvl w:val="1"/>
          <w:numId w:val="5"/>
        </w:numPr>
        <w:snapToGrid w:val="0"/>
        <w:spacing w:before="180" w:beforeLines="50"/>
        <w:ind w:left="840" w:hanging="420"/>
        <w:rPr>
          <w:rFonts w:hint="eastAsia"/>
          <w:i/>
          <w:iCs/>
          <w:lang w:val="en-US" w:eastAsia="zh-CN"/>
        </w:rPr>
      </w:pPr>
      <w:r>
        <w:rPr>
          <w:rFonts w:hint="eastAsia"/>
          <w:b w:val="0"/>
          <w:bCs w:val="0"/>
          <w:i/>
          <w:iCs/>
          <w:kern w:val="2"/>
          <w:sz w:val="20"/>
          <w:szCs w:val="20"/>
          <w:u w:val="none"/>
          <w:shd w:val="clear" w:color="auto" w:fill="auto"/>
          <w:lang w:val="en-US" w:eastAsia="zh-CN"/>
        </w:rPr>
        <w:t xml:space="preserve">three consecutive PDSCHs, in which the first two PDSCHs overlap at least in the time domain and non-overlap with the third PDSCH. </w:t>
      </w:r>
      <w:r>
        <w:rPr>
          <w:rFonts w:hint="default"/>
          <w:b w:val="0"/>
          <w:bCs w:val="0"/>
          <w:i/>
          <w:iCs/>
          <w:kern w:val="0"/>
          <w:sz w:val="20"/>
          <w:szCs w:val="20"/>
          <w:u w:val="none"/>
          <w:shd w:val="clear" w:color="auto" w:fill="auto"/>
          <w:lang w:val="en-US" w:eastAsia="zh-CN"/>
        </w:rPr>
        <w:t xml:space="preserve"> </w:t>
      </w:r>
    </w:p>
    <w:p>
      <w:pPr>
        <w:numPr>
          <w:ilvl w:val="1"/>
          <w:numId w:val="5"/>
        </w:numPr>
        <w:snapToGrid w:val="0"/>
        <w:spacing w:before="180" w:beforeLines="50"/>
        <w:ind w:left="840" w:hanging="420"/>
        <w:rPr>
          <w:rFonts w:hint="eastAsia"/>
          <w:i/>
          <w:iCs/>
          <w:lang w:val="en-US" w:eastAsia="zh-CN"/>
        </w:rPr>
      </w:pPr>
      <w:r>
        <w:rPr>
          <w:rFonts w:hint="eastAsia" w:eastAsiaTheme="minorEastAsia"/>
          <w:b w:val="0"/>
          <w:bCs w:val="0"/>
          <w:i/>
          <w:iCs/>
          <w:lang w:val="en-US" w:eastAsia="zh-CN"/>
        </w:rPr>
        <w:t xml:space="preserve">Note, it depends on whether </w:t>
      </w:r>
      <w:r>
        <w:rPr>
          <w:rFonts w:hint="eastAsia"/>
          <w:i/>
          <w:iCs/>
          <w:lang w:val="en-US" w:eastAsia="zh-CN"/>
        </w:rPr>
        <w:t xml:space="preserve">Solution 4-2 is supported or not. </w:t>
      </w:r>
    </w:p>
    <w:p>
      <w:pPr>
        <w:pStyle w:val="2"/>
        <w:spacing w:before="180"/>
        <w:rPr>
          <w:lang w:val="en-US"/>
        </w:rPr>
      </w:pPr>
      <w:r>
        <w:rPr>
          <w:rFonts w:hint="eastAsia"/>
          <w:lang w:val="en-US" w:eastAsia="zh-CN"/>
        </w:rPr>
        <w:t xml:space="preserve">Solutions for PDSCH pipeline issue </w:t>
      </w:r>
    </w:p>
    <w:p>
      <w:pPr>
        <w:snapToGrid w:val="0"/>
        <w:rPr>
          <w:rFonts w:hint="eastAsia"/>
          <w:kern w:val="2"/>
          <w:lang w:val="en-US" w:eastAsia="zh-CN"/>
        </w:rPr>
      </w:pPr>
      <w:r>
        <w:rPr>
          <w:rFonts w:hint="eastAsia"/>
          <w:kern w:val="2"/>
          <w:lang w:val="en-US" w:eastAsia="zh-CN"/>
        </w:rPr>
        <w:t>In this section, we provide our analysis on the solutions mainly based on Scenario 3 discussed in above section. Currently, four potential solutions were proposed to define UE behaviors for out-of-order HARQ-ACK scheduling. Our understanding is that, as long as the UE can feedback HARQ-ACK information in the indicated PUCCH resource for each of the PDSCH, no matter the PDSCH is actually processed or not, gNB</w:t>
      </w:r>
      <w:r>
        <w:rPr>
          <w:kern w:val="2"/>
          <w:lang w:val="en-US" w:eastAsia="zh-CN"/>
        </w:rPr>
        <w:t>’</w:t>
      </w:r>
      <w:r>
        <w:rPr>
          <w:rFonts w:hint="eastAsia"/>
          <w:kern w:val="2"/>
          <w:lang w:val="en-US" w:eastAsia="zh-CN"/>
        </w:rPr>
        <w:t>s behavior will be deterministic. It is not necessary for gNB to have a comprehensive information of UE capability or scheduling condition and based on that to determine whether the low priority PDSCH is processed by the UE or not. All gNB needs to do is to receive the HARQ-ACK information on the indicated PUCCH resource and based on that to decide whether to reschedule the PDSCH</w:t>
      </w:r>
      <w:r>
        <w:rPr>
          <w:rFonts w:hint="eastAsia"/>
          <w:color w:val="auto"/>
          <w:kern w:val="2"/>
          <w:lang w:val="en-US" w:eastAsia="zh-CN"/>
        </w:rPr>
        <w:t>. So it is sufficient to just define which PDSCH should be prioritized so that the UE will always try its best to decode the high priority PDSCH to guarantee URLLC service performance. As to the low priority PDSCH, the UE will decide whether to decode it or</w:t>
      </w:r>
      <w:r>
        <w:rPr>
          <w:rFonts w:hint="eastAsia"/>
          <w:kern w:val="2"/>
          <w:lang w:val="en-US" w:eastAsia="zh-CN"/>
        </w:rPr>
        <w:t xml:space="preserve"> nor not based on its capability or the scheduling condition and so on. </w:t>
      </w:r>
      <w:bookmarkStart w:id="4" w:name="OLE_LINK2"/>
      <w:r>
        <w:rPr>
          <w:rFonts w:hint="eastAsia"/>
          <w:kern w:val="2"/>
          <w:lang w:val="en-US" w:eastAsia="zh-CN"/>
        </w:rPr>
        <w:t xml:space="preserve"> And it is a clean solution which doesn</w:t>
      </w:r>
      <w:r>
        <w:rPr>
          <w:rFonts w:hint="default"/>
          <w:kern w:val="2"/>
          <w:lang w:val="en-US" w:eastAsia="zh-CN"/>
        </w:rPr>
        <w:t>’</w:t>
      </w:r>
      <w:r>
        <w:rPr>
          <w:rFonts w:hint="eastAsia"/>
          <w:kern w:val="2"/>
          <w:lang w:val="en-US" w:eastAsia="zh-CN"/>
        </w:rPr>
        <w:t>t incur Scenario 4 mentioned in Section 2.</w:t>
      </w:r>
    </w:p>
    <w:p>
      <w:pPr>
        <w:snapToGrid w:val="0"/>
        <w:rPr>
          <w:color w:val="auto"/>
          <w:kern w:val="2"/>
          <w:lang w:val="en-US" w:eastAsia="zh-CN"/>
        </w:rPr>
      </w:pPr>
      <w:r>
        <w:rPr>
          <w:rFonts w:hint="eastAsia"/>
          <w:kern w:val="2"/>
          <w:lang w:val="en-US" w:eastAsia="zh-CN"/>
        </w:rPr>
        <w:t>According to the abov</w:t>
      </w:r>
      <w:r>
        <w:rPr>
          <w:rFonts w:hint="eastAsia"/>
          <w:color w:val="auto"/>
          <w:kern w:val="2"/>
          <w:lang w:val="en-US" w:eastAsia="zh-CN"/>
        </w:rPr>
        <w:t>e analysis, we expect Solution 1 is the most appropriate one. Other solutions are also applicable but will introduce unnecessary rules and UE capabilities</w:t>
      </w:r>
      <w:bookmarkEnd w:id="4"/>
      <w:r>
        <w:rPr>
          <w:rFonts w:hint="eastAsia"/>
          <w:color w:val="auto"/>
          <w:kern w:val="2"/>
          <w:lang w:val="en-US" w:eastAsia="zh-CN"/>
        </w:rPr>
        <w:t xml:space="preserve"> thus not recommended.</w:t>
      </w:r>
    </w:p>
    <w:p>
      <w:pPr>
        <w:snapToGrid w:val="0"/>
        <w:rPr>
          <w:rFonts w:hint="default"/>
          <w:color w:val="auto"/>
          <w:kern w:val="2"/>
          <w:lang w:val="en-US" w:eastAsia="zh-CN"/>
        </w:rPr>
      </w:pPr>
      <w:r>
        <w:rPr>
          <w:rFonts w:hint="eastAsia"/>
          <w:kern w:val="2"/>
          <w:lang w:val="en-US" w:eastAsia="zh-CN"/>
        </w:rPr>
        <w:t>There is a concern on out-loop link adaptation for Solution 1. That is, gNB does not know whether the UE processes the low priority PDSCH or not. Thus, when gNB receives a NACK for the low priority PDSCH, it doesn</w:t>
      </w:r>
      <w:r>
        <w:rPr>
          <w:kern w:val="2"/>
          <w:lang w:val="en-US" w:eastAsia="zh-CN"/>
        </w:rPr>
        <w:t>’</w:t>
      </w:r>
      <w:r>
        <w:rPr>
          <w:rFonts w:hint="eastAsia"/>
          <w:kern w:val="2"/>
          <w:lang w:val="en-US" w:eastAsia="zh-CN"/>
        </w:rPr>
        <w:t xml:space="preserve">t know whether the NACK is caused by UE dropping the low priority PDSCH in which case gNB does not need to adjust the out-loop link adaptation, or by bad channel quality in which case gNB needs to adjust the out-loop link adaptation. This would cause an ambiguity for gNB. However, compared to normal PDSCH scheduling, the out of order HARQ scheduling is a small probability event. gNB can simply ignore the NACK for low priority PDSCH since out-loop link </w:t>
      </w:r>
      <w:r>
        <w:rPr>
          <w:rFonts w:hint="eastAsia"/>
          <w:color w:val="auto"/>
          <w:kern w:val="2"/>
          <w:lang w:val="en-US" w:eastAsia="zh-CN"/>
        </w:rPr>
        <w:t>adaptation is more of a statistical process and wouldn</w:t>
      </w:r>
      <w:r>
        <w:rPr>
          <w:color w:val="auto"/>
          <w:kern w:val="2"/>
          <w:lang w:val="en-US" w:eastAsia="zh-CN"/>
        </w:rPr>
        <w:t>’</w:t>
      </w:r>
      <w:r>
        <w:rPr>
          <w:rFonts w:hint="eastAsia"/>
          <w:color w:val="auto"/>
          <w:kern w:val="2"/>
          <w:lang w:val="en-US" w:eastAsia="zh-CN"/>
        </w:rPr>
        <w:t xml:space="preserve">t be influenced even slightly by a single miss of NACK. Even gNB would like to take the NACK for low priority PDSCH into account for out-loop link adaptation, gNB can still make reasonable assumption that if ACK is received for the high priority PDSCH and NACK is received for the low priority PDSCH. Because such case means the channel quality/CQI reporting is good and the NACK for low priority is very much possible caused by UE dropping the PDSCH. Anyway, it is obvious that the influence for out-loop link adaptation in Solution 1 is quite limited and can be neglected. </w:t>
      </w:r>
    </w:p>
    <w:p>
      <w:pPr>
        <w:snapToGrid w:val="0"/>
        <w:rPr>
          <w:rFonts w:hint="eastAsia"/>
          <w:kern w:val="2"/>
          <w:lang w:val="en-US" w:eastAsia="zh-CN"/>
        </w:rPr>
      </w:pPr>
      <w:r>
        <w:rPr>
          <w:rFonts w:hint="eastAsia"/>
          <w:color w:val="auto"/>
          <w:kern w:val="2"/>
          <w:lang w:val="en-US" w:eastAsia="zh-CN"/>
        </w:rPr>
        <w:t>Another concern for Solution 1 is the resource management issue. Some company think if gNB does not know whether the UE drops the low priority PDSCH or not, gNB does not know whether it should transmit the remaining part of low priority PDSCH or reallocate the PDSCH resource to other transmissions. From our perspective, it is really an implementation issue that gNB should always make reasonable de</w:t>
      </w:r>
      <w:r>
        <w:rPr>
          <w:rFonts w:hint="eastAsia"/>
          <w:kern w:val="2"/>
          <w:lang w:val="en-US" w:eastAsia="zh-CN"/>
        </w:rPr>
        <w:t>cision on its own behavior. If gNB does not know whether the UE will process the low priority PDSCH or not, a reasonable behavior for gNB is to always transmit the PDSCH to maximize throughput and UE capability as well. If in fact the UE will drop the low priority PDSCH, the above gNB behavior would cause some unnecessary resource consumption but only when the high priority PDSCH starts before the end of low priority PDSCH, which indeed has an even smaller probability than out-of-order HARQ-ACK scheduling. Thus the influence to system throughput can be ignored.</w:t>
      </w:r>
    </w:p>
    <w:p>
      <w:pPr>
        <w:snapToGrid w:val="0"/>
        <w:rPr>
          <w:i/>
          <w:iCs/>
          <w:kern w:val="2"/>
          <w:sz w:val="21"/>
          <w:szCs w:val="22"/>
          <w:lang w:val="en-US" w:eastAsia="zh-CN"/>
        </w:rPr>
      </w:pPr>
      <w:r>
        <w:rPr>
          <w:rFonts w:hint="eastAsia"/>
          <w:b/>
          <w:bCs/>
          <w:i/>
          <w:iCs/>
          <w:kern w:val="2"/>
          <w:lang w:val="en-US" w:eastAsia="zh-CN"/>
        </w:rPr>
        <w:t xml:space="preserve">Proposal 5: </w:t>
      </w:r>
      <w:r>
        <w:rPr>
          <w:rFonts w:hint="eastAsia"/>
          <w:i/>
          <w:iCs/>
          <w:kern w:val="2"/>
          <w:lang w:val="en-US" w:eastAsia="zh-CN"/>
        </w:rPr>
        <w:t>Solution 1 should be supported to define UE behavior f</w:t>
      </w:r>
      <w:r>
        <w:rPr>
          <w:rFonts w:hint="eastAsia"/>
          <w:i/>
          <w:iCs/>
          <w:kern w:val="2"/>
          <w:sz w:val="21"/>
          <w:szCs w:val="22"/>
          <w:lang w:val="en-US" w:eastAsia="zh-CN"/>
        </w:rPr>
        <w:t>or out-of-order HARQ-ACK scheduling.</w:t>
      </w:r>
    </w:p>
    <w:p>
      <w:pPr>
        <w:snapToGrid w:val="0"/>
        <w:spacing w:before="180"/>
        <w:rPr>
          <w:kern w:val="2"/>
          <w:lang w:val="en-US" w:eastAsia="zh-CN"/>
        </w:rPr>
      </w:pPr>
      <w:r>
        <w:rPr>
          <w:rFonts w:hint="eastAsia"/>
          <w:kern w:val="2"/>
          <w:lang w:val="en-US" w:eastAsia="zh-CN"/>
        </w:rPr>
        <w:t>As to the FFS point, whether or not, out-of-order operation is allowed across PDSCHs with PDSCH-to-HARQ-ACK gap compatible with PDSCH processing time (N1) for capability X. From gNB</w:t>
      </w:r>
      <w:r>
        <w:rPr>
          <w:kern w:val="2"/>
          <w:lang w:val="en-US" w:eastAsia="zh-CN"/>
        </w:rPr>
        <w:t>’</w:t>
      </w:r>
      <w:r>
        <w:rPr>
          <w:rFonts w:hint="eastAsia"/>
          <w:kern w:val="2"/>
          <w:lang w:val="en-US" w:eastAsia="zh-CN"/>
        </w:rPr>
        <w:t>s perspective, if such restriction is applied, that means gNB cannot prioritize URLLC PDSCH transmission with capability 2 processing time over a</w:t>
      </w:r>
      <w:r>
        <w:rPr>
          <w:rFonts w:hint="eastAsia" w:eastAsia="宋体"/>
          <w:lang w:val="en-US" w:eastAsia="zh-CN"/>
        </w:rPr>
        <w:t>n on-going eMBB UE with capability 2.</w:t>
      </w:r>
    </w:p>
    <w:p>
      <w:pPr>
        <w:snapToGrid w:val="0"/>
        <w:rPr>
          <w:kern w:val="2"/>
          <w:lang w:val="en-US" w:eastAsia="zh-CN"/>
        </w:rPr>
      </w:pPr>
      <w:r>
        <w:rPr>
          <w:rFonts w:hint="eastAsia"/>
          <w:kern w:val="2"/>
          <w:lang w:val="en-US" w:eastAsia="zh-CN"/>
        </w:rPr>
        <w:t>From UE</w:t>
      </w:r>
      <w:r>
        <w:rPr>
          <w:kern w:val="2"/>
          <w:lang w:val="en-US" w:eastAsia="zh-CN"/>
        </w:rPr>
        <w:t>’</w:t>
      </w:r>
      <w:r>
        <w:rPr>
          <w:rFonts w:hint="eastAsia"/>
          <w:kern w:val="2"/>
          <w:lang w:val="en-US" w:eastAsia="zh-CN"/>
        </w:rPr>
        <w:t>s perspective, if some rules like Solution 1 are specified, a UE will be able to deal with out-of-order HARQ scheduling accordingly, and is not related to whether the two PDSCHs are compatible with the same or different capability X.</w:t>
      </w:r>
    </w:p>
    <w:p>
      <w:pPr>
        <w:snapToGrid w:val="0"/>
        <w:rPr>
          <w:kern w:val="2"/>
          <w:lang w:val="en-US" w:eastAsia="zh-CN"/>
        </w:rPr>
      </w:pPr>
      <w:r>
        <w:rPr>
          <w:rFonts w:hint="eastAsia"/>
          <w:kern w:val="2"/>
          <w:lang w:val="en-US" w:eastAsia="zh-CN"/>
        </w:rPr>
        <w:t>Based on the analysis, we don’t think there is a need to add an artificial restriction that the two PDSCHs scheduled in out-of-order HARQ-ACK manner are compatible with the same or different capability X.</w:t>
      </w:r>
      <w:r>
        <w:rPr>
          <w:kern w:val="2"/>
          <w:lang w:val="en-US" w:eastAsia="zh-CN"/>
        </w:rPr>
        <w:t xml:space="preserve"> </w:t>
      </w:r>
    </w:p>
    <w:p>
      <w:pPr>
        <w:widowControl w:val="0"/>
        <w:snapToGrid w:val="0"/>
        <w:spacing w:after="120"/>
        <w:rPr>
          <w:kern w:val="2"/>
          <w:lang w:val="en-US" w:eastAsia="zh-CN"/>
        </w:rPr>
      </w:pPr>
      <w:r>
        <w:rPr>
          <w:rFonts w:hint="eastAsia"/>
          <w:b/>
          <w:bCs/>
          <w:i/>
          <w:iCs/>
          <w:kern w:val="2"/>
          <w:lang w:val="en-US" w:eastAsia="zh-CN"/>
        </w:rPr>
        <w:t xml:space="preserve">Proposal 6: </w:t>
      </w:r>
      <w:r>
        <w:rPr>
          <w:rFonts w:hint="eastAsia"/>
          <w:i/>
          <w:iCs/>
          <w:kern w:val="2"/>
          <w:lang w:val="en-US" w:eastAsia="zh-CN"/>
        </w:rPr>
        <w:t>No need to specify that out-of-order operation is allowed or not across PDSCHs with PDSCH-to-HARQ gap compatible with PDSCH processing time (N1) for capability X</w:t>
      </w:r>
      <w:r>
        <w:rPr>
          <w:rFonts w:hint="eastAsia"/>
          <w:i/>
          <w:iCs/>
          <w:kern w:val="2"/>
          <w:sz w:val="21"/>
          <w:szCs w:val="22"/>
          <w:lang w:val="en-US" w:eastAsia="zh-CN"/>
        </w:rPr>
        <w:t>.</w:t>
      </w:r>
    </w:p>
    <w:p>
      <w:pPr>
        <w:pStyle w:val="2"/>
        <w:spacing w:before="180"/>
        <w:rPr>
          <w:lang w:val="en-US"/>
        </w:rPr>
      </w:pPr>
      <w:r>
        <w:rPr>
          <w:rFonts w:hint="eastAsia"/>
          <w:lang w:val="en-US"/>
        </w:rPr>
        <w:t>Out-of-order PUSCH</w:t>
      </w:r>
    </w:p>
    <w:p>
      <w:pPr>
        <w:snapToGrid w:val="0"/>
        <w:rPr>
          <w:kern w:val="2"/>
          <w:lang w:val="en-US" w:eastAsia="zh-CN"/>
        </w:rPr>
      </w:pPr>
      <w:r>
        <w:rPr>
          <w:rFonts w:hint="eastAsia"/>
          <w:kern w:val="2"/>
          <w:lang w:val="en-US" w:eastAsia="zh-CN"/>
        </w:rPr>
        <w:t xml:space="preserve">Four potential solutions were agreed, as listed in the Appendix, to define UE behaviors for out-of-order PUSCH scheduling. The problem that gNB/UE face in out-of-order PUSCH scheduling is quite similar as in out-of-order HARQ-ACK scheduling but with a little difference. That is, the UE can always feedback HARQ-ACK information even the corresponding PDSCH is not decoded yet, while in out-of-order PUSCH scheduling, the UE cannot transmit a PUSCH if the PUSCH is not prepared. However, considering the fact that gNB anyway supports blind decoding of UL grant free transmission, gNB can also detect whether the first scheduled PUSCH is transmitted or not in out-of-order PUSCH scheduling. If gNB detects the PUSCH is not transmitted, gNB will not buffer the corresponding symbols received on the resource of PUSCH thus avoid polluting the HARQ buffer. So Solution 1 is still applicable here. </w:t>
      </w:r>
    </w:p>
    <w:p>
      <w:pPr>
        <w:snapToGrid w:val="0"/>
        <w:spacing w:after="120"/>
        <w:rPr>
          <w:kern w:val="2"/>
          <w:lang w:val="en-US" w:eastAsia="zh-CN"/>
        </w:rPr>
      </w:pPr>
      <w:r>
        <w:rPr>
          <w:rFonts w:hint="eastAsia"/>
          <w:kern w:val="2"/>
          <w:lang w:val="en-US" w:eastAsia="zh-CN"/>
        </w:rPr>
        <w:t xml:space="preserve">If Solution 1 is adopted, it is expected that gNB always tries to detect the second scheduled PUSCH. But gNB may need blind decodes the first PUSCH. To avoid the above unnecessary gNB blind decodes, Solution 2 can be a good alternative. From our understanding, Solution 2 means that the UE reports a capability to gNB about whether it can </w:t>
      </w:r>
      <w:r>
        <w:rPr>
          <w:kern w:val="2"/>
          <w:lang w:val="en-US" w:eastAsia="zh-CN"/>
        </w:rPr>
        <w:t xml:space="preserve">transmit </w:t>
      </w:r>
      <w:r>
        <w:rPr>
          <w:rFonts w:hint="eastAsia"/>
          <w:kern w:val="2"/>
          <w:lang w:val="en-US" w:eastAsia="zh-CN"/>
        </w:rPr>
        <w:t>two PUSCH in parallel. For a UE with the capability, the UE should transmit the two PUSCH and gNB always tries to decode both PUSCH. For a UE without the capability, the UE always drops the first scheduled PUSCH and gNB always ignores the decoding of the first scheduled PUSCH.</w:t>
      </w:r>
    </w:p>
    <w:p>
      <w:pPr>
        <w:widowControl w:val="0"/>
        <w:snapToGrid w:val="0"/>
        <w:spacing w:after="120"/>
        <w:rPr>
          <w:i/>
          <w:iCs/>
          <w:kern w:val="2"/>
          <w:sz w:val="21"/>
          <w:szCs w:val="22"/>
          <w:lang w:val="en-US" w:eastAsia="zh-CN"/>
        </w:rPr>
      </w:pPr>
      <w:r>
        <w:rPr>
          <w:rFonts w:hint="eastAsia"/>
          <w:b/>
          <w:bCs/>
          <w:i/>
          <w:iCs/>
          <w:kern w:val="2"/>
          <w:lang w:val="en-US" w:eastAsia="zh-CN"/>
        </w:rPr>
        <w:t xml:space="preserve">Proposal </w:t>
      </w:r>
      <w:r>
        <w:rPr>
          <w:rFonts w:hint="eastAsia" w:eastAsiaTheme="minorEastAsia"/>
          <w:b/>
          <w:bCs/>
          <w:i/>
          <w:iCs/>
          <w:kern w:val="2"/>
          <w:lang w:val="en-US" w:eastAsia="zh-CN"/>
        </w:rPr>
        <w:t>7</w:t>
      </w:r>
      <w:r>
        <w:rPr>
          <w:rFonts w:hint="eastAsia"/>
          <w:b/>
          <w:bCs/>
          <w:i/>
          <w:iCs/>
          <w:kern w:val="2"/>
          <w:lang w:val="en-US" w:eastAsia="zh-CN"/>
        </w:rPr>
        <w:t xml:space="preserve">: </w:t>
      </w:r>
      <w:r>
        <w:rPr>
          <w:rFonts w:hint="eastAsia"/>
          <w:i/>
          <w:iCs/>
          <w:kern w:val="2"/>
          <w:lang w:val="en-US" w:eastAsia="zh-CN"/>
        </w:rPr>
        <w:t>Solution 1 or Solution 2 can be supported for out-of-order PUSCH scheduling</w:t>
      </w:r>
      <w:r>
        <w:rPr>
          <w:rFonts w:hint="eastAsia"/>
          <w:i/>
          <w:iCs/>
          <w:kern w:val="2"/>
          <w:sz w:val="21"/>
          <w:szCs w:val="22"/>
          <w:lang w:val="en-US" w:eastAsia="zh-CN"/>
        </w:rPr>
        <w:t>.</w:t>
      </w:r>
    </w:p>
    <w:p>
      <w:pPr>
        <w:snapToGrid w:val="0"/>
        <w:spacing w:before="180" w:beforeLines="50"/>
        <w:rPr>
          <w:kern w:val="2"/>
          <w:lang w:val="en-US" w:eastAsia="zh-CN"/>
        </w:rPr>
      </w:pPr>
      <w:r>
        <w:rPr>
          <w:rFonts w:hint="eastAsia"/>
          <w:kern w:val="2"/>
          <w:lang w:val="en-US" w:eastAsia="zh-CN"/>
        </w:rPr>
        <w:t xml:space="preserve">As to the FFS point, whether or not out-of-order operation is allowed across </w:t>
      </w:r>
      <w:bookmarkStart w:id="5" w:name="OLE_LINK3"/>
      <w:r>
        <w:rPr>
          <w:rFonts w:hint="eastAsia"/>
          <w:kern w:val="2"/>
          <w:lang w:val="en-US" w:eastAsia="zh-CN"/>
        </w:rPr>
        <w:t>PUSCHs with PDCCH-to-PUSCH gap compatible with PUSCH processing time (N2) for capability X.</w:t>
      </w:r>
      <w:bookmarkEnd w:id="5"/>
      <w:r>
        <w:rPr>
          <w:rFonts w:hint="eastAsia"/>
          <w:kern w:val="2"/>
          <w:lang w:val="en-US" w:eastAsia="zh-CN"/>
        </w:rPr>
        <w:t xml:space="preserve"> Based on similar reasons as in out-of-order HARQ-ACK case, we propose no artificial restriction for it.</w:t>
      </w:r>
    </w:p>
    <w:p>
      <w:pPr>
        <w:widowControl w:val="0"/>
        <w:snapToGrid w:val="0"/>
        <w:spacing w:after="120"/>
        <w:rPr>
          <w:rFonts w:hint="eastAsia"/>
          <w:i/>
          <w:iCs/>
          <w:kern w:val="2"/>
          <w:lang w:val="en-US" w:eastAsia="zh-CN"/>
        </w:rPr>
      </w:pPr>
      <w:r>
        <w:rPr>
          <w:rFonts w:hint="eastAsia"/>
          <w:b/>
          <w:bCs/>
          <w:i/>
          <w:iCs/>
          <w:kern w:val="2"/>
          <w:lang w:val="en-US" w:eastAsia="zh-CN"/>
        </w:rPr>
        <w:t xml:space="preserve">Proposal </w:t>
      </w:r>
      <w:r>
        <w:rPr>
          <w:rFonts w:hint="eastAsia" w:eastAsiaTheme="minorEastAsia"/>
          <w:b/>
          <w:bCs/>
          <w:i/>
          <w:iCs/>
          <w:kern w:val="2"/>
          <w:lang w:val="en-US" w:eastAsia="zh-CN"/>
        </w:rPr>
        <w:t>8</w:t>
      </w:r>
      <w:r>
        <w:rPr>
          <w:rFonts w:hint="eastAsia"/>
          <w:b/>
          <w:bCs/>
          <w:i/>
          <w:iCs/>
          <w:kern w:val="2"/>
          <w:lang w:val="en-US" w:eastAsia="zh-CN"/>
        </w:rPr>
        <w:t xml:space="preserve">: </w:t>
      </w:r>
      <w:r>
        <w:rPr>
          <w:rFonts w:hint="eastAsia"/>
          <w:i/>
          <w:iCs/>
          <w:kern w:val="2"/>
          <w:lang w:val="en-US" w:eastAsia="zh-CN"/>
        </w:rPr>
        <w:t>No need to specify that out-of-order operation is allowed or not across PUSCHs with PDCCH-to-PUSCH gap compatible with PUSCH processing time (N2) for capability X.</w:t>
      </w:r>
    </w:p>
    <w:p>
      <w:pPr>
        <w:widowControl w:val="0"/>
        <w:snapToGrid w:val="0"/>
        <w:spacing w:after="120"/>
        <w:rPr>
          <w:kern w:val="2"/>
          <w:szCs w:val="21"/>
          <w:lang w:val="en-US" w:eastAsia="zh-CN"/>
        </w:rPr>
      </w:pPr>
      <w:r>
        <w:rPr>
          <w:rFonts w:hint="eastAsia"/>
          <w:kern w:val="2"/>
          <w:szCs w:val="21"/>
          <w:lang w:val="en-US" w:eastAsia="zh-CN"/>
        </w:rPr>
        <w:t>For scenario when the first scheduled PUSCH and the second scheduled PUSCH are colliding in the time domain, we have already agreed that the UE drops the processing and the transmission of the first scheduled PUSCH and details is FFS. From our understanding, one detail that matters is when will a</w:t>
      </w:r>
      <w:r>
        <w:rPr>
          <w:kern w:val="2"/>
          <w:szCs w:val="21"/>
          <w:lang w:val="en-US" w:eastAsia="zh-CN"/>
        </w:rPr>
        <w:t xml:space="preserve"> </w:t>
      </w:r>
      <w:r>
        <w:rPr>
          <w:rFonts w:hint="eastAsia"/>
          <w:kern w:val="2"/>
          <w:szCs w:val="21"/>
          <w:lang w:val="en-US" w:eastAsia="zh-CN"/>
        </w:rPr>
        <w:t xml:space="preserve">UE actually stop the transmission of the first PUSCH if a UE detects the second UL grant for URLLC. As shown in Figure 2, an eMBB PUSCH has already started its transmission </w:t>
      </w:r>
      <w:r>
        <w:rPr>
          <w:rFonts w:hint="eastAsia" w:eastAsiaTheme="minorEastAsia"/>
          <w:kern w:val="2"/>
          <w:szCs w:val="21"/>
          <w:lang w:val="en-US" w:eastAsia="zh-CN"/>
        </w:rPr>
        <w:t>o</w:t>
      </w:r>
      <w:r>
        <w:rPr>
          <w:rFonts w:hint="eastAsia"/>
          <w:kern w:val="2"/>
          <w:szCs w:val="21"/>
          <w:lang w:val="en-US" w:eastAsia="zh-CN"/>
        </w:rPr>
        <w:t xml:space="preserve">n symbol#0, and is indicated by UL grant 1 to end </w:t>
      </w:r>
      <w:r>
        <w:rPr>
          <w:rFonts w:hint="eastAsia" w:eastAsiaTheme="minorEastAsia"/>
          <w:kern w:val="2"/>
          <w:szCs w:val="21"/>
          <w:lang w:val="en-US" w:eastAsia="zh-CN"/>
        </w:rPr>
        <w:t>o</w:t>
      </w:r>
      <w:r>
        <w:rPr>
          <w:rFonts w:hint="eastAsia"/>
          <w:kern w:val="2"/>
          <w:szCs w:val="21"/>
          <w:lang w:val="en-US" w:eastAsia="zh-CN"/>
        </w:rPr>
        <w:t xml:space="preserve">n symbol#11. Then, the UE detects an UL grant2 on symbol#4/5 to schedule a URLLC PUSCH on symbol#11/12. When it starts to process URLLC PUSCH, the UE would not be able to process both eMBB PUSCH and URLLC PUSCH in parallel starting from a symbol, e.g., symbol #7 (It is assumed that the UE needs 2-symbol duration to decode UL grant2). Thus, the UE needs to stop transmitting the eMBB PUSCH starting from symbol #7.  In short, it needs to </w:t>
      </w:r>
      <w:r>
        <w:rPr>
          <w:rFonts w:hint="eastAsia" w:eastAsia="宋体"/>
          <w:bCs/>
          <w:i w:val="0"/>
          <w:iCs/>
          <w:lang w:val="en-US" w:eastAsia="zh-CN"/>
        </w:rPr>
        <w:t>define the ending symbol from where the UE should stop transmission of the first PUSCH</w:t>
      </w:r>
      <w:r>
        <w:rPr>
          <w:rFonts w:hint="eastAsia"/>
          <w:kern w:val="2"/>
          <w:szCs w:val="21"/>
          <w:lang w:val="en-US" w:eastAsia="zh-CN"/>
        </w:rPr>
        <w:t xml:space="preserve">. It can be determined by N symbols after UL grant2, and N symbols are used to decode the PDCCH. Thus, the gNB can decode the eMBB PUSCH based on the valid symbols transmitted. </w:t>
      </w:r>
    </w:p>
    <w:p>
      <w:pPr>
        <w:snapToGrid w:val="0"/>
        <w:spacing w:before="180" w:beforeLines="50"/>
        <w:jc w:val="center"/>
        <w:rPr>
          <w:rFonts w:eastAsiaTheme="minorEastAsia"/>
          <w:lang w:eastAsia="zh-CN"/>
        </w:rPr>
      </w:pPr>
      <w:r>
        <w:rPr>
          <w:rFonts w:hint="default" w:eastAsia="Times New Roman"/>
          <w:sz w:val="21"/>
        </w:rPr>
        <w:object>
          <v:shape id="_x0000_i1025" o:spt="75" type="#_x0000_t75" style="height:120.2pt;width:307.75pt;" o:ole="t" filled="f" o:preferrelative="t" stroked="f" coordsize="21600,21600">
            <v:path/>
            <v:fill on="f" focussize="0,0"/>
            <v:stroke on="f"/>
            <v:imagedata r:id="rId7" o:title=""/>
            <o:lock v:ext="edit" aspectratio="t"/>
            <w10:wrap type="none"/>
            <w10:anchorlock/>
          </v:shape>
          <o:OLEObject Type="Embed" ProgID="Visio.Drawing.11" ShapeID="_x0000_i1025" DrawAspect="Content" ObjectID="_1468075725" r:id="rId6">
            <o:LockedField>false</o:LockedField>
          </o:OLEObject>
        </w:object>
      </w:r>
    </w:p>
    <w:p>
      <w:pPr>
        <w:snapToGrid w:val="0"/>
        <w:spacing w:before="180" w:beforeLines="50"/>
        <w:jc w:val="center"/>
        <w:rPr>
          <w:rFonts w:eastAsiaTheme="minorEastAsia"/>
          <w:kern w:val="2"/>
          <w:sz w:val="21"/>
          <w:szCs w:val="22"/>
          <w:lang w:val="en-US" w:eastAsia="zh-CN"/>
        </w:rPr>
      </w:pPr>
      <w:r>
        <w:rPr>
          <w:rFonts w:hint="eastAsia" w:eastAsiaTheme="minorEastAsia"/>
          <w:b/>
          <w:lang w:eastAsia="zh-CN"/>
        </w:rPr>
        <w:t xml:space="preserve">Figure </w:t>
      </w:r>
      <w:r>
        <w:rPr>
          <w:rFonts w:hint="eastAsia" w:eastAsiaTheme="minorEastAsia"/>
          <w:b/>
          <w:lang w:val="en-US" w:eastAsia="zh-CN"/>
        </w:rPr>
        <w:t>2</w:t>
      </w:r>
      <w:r>
        <w:rPr>
          <w:rFonts w:hint="eastAsia" w:eastAsiaTheme="minorEastAsia"/>
          <w:b/>
          <w:lang w:eastAsia="zh-CN"/>
        </w:rPr>
        <w:t xml:space="preserve">. Conflict between </w:t>
      </w:r>
      <w:r>
        <w:rPr>
          <w:rFonts w:hint="eastAsia" w:eastAsiaTheme="minorEastAsia"/>
          <w:b/>
          <w:kern w:val="2"/>
          <w:lang w:eastAsia="zh-CN"/>
        </w:rPr>
        <w:t>d</w:t>
      </w:r>
      <w:r>
        <w:rPr>
          <w:rFonts w:hint="eastAsia" w:eastAsiaTheme="minorEastAsia"/>
          <w:b/>
          <w:kern w:val="2"/>
          <w:lang w:val="en-US" w:eastAsia="zh-CN"/>
        </w:rPr>
        <w:t>ynamic scheduled PUSCHs</w:t>
      </w:r>
      <w:r>
        <w:rPr>
          <w:rFonts w:hint="eastAsia"/>
          <w:b/>
          <w:kern w:val="2"/>
          <w:lang w:val="en-US" w:eastAsia="zh-CN"/>
        </w:rPr>
        <w:t xml:space="preserve"> </w:t>
      </w:r>
      <w:r>
        <w:rPr>
          <w:rFonts w:hint="eastAsia" w:eastAsiaTheme="minorEastAsia"/>
          <w:b/>
          <w:kern w:val="2"/>
          <w:lang w:val="en-US" w:eastAsia="zh-CN"/>
        </w:rPr>
        <w:t>for URLLC and eMBB</w:t>
      </w:r>
    </w:p>
    <w:p>
      <w:pPr>
        <w:widowControl w:val="0"/>
        <w:snapToGrid w:val="0"/>
        <w:spacing w:after="120"/>
        <w:rPr>
          <w:rFonts w:hint="eastAsia" w:eastAsia="宋体"/>
          <w:bCs/>
          <w:i/>
          <w:lang w:val="en-US" w:eastAsia="zh-CN"/>
        </w:rPr>
      </w:pPr>
      <w:r>
        <w:rPr>
          <w:rFonts w:hint="eastAsia"/>
          <w:b/>
          <w:bCs/>
          <w:i/>
          <w:iCs/>
          <w:kern w:val="2"/>
          <w:lang w:val="en-US" w:eastAsia="zh-CN"/>
        </w:rPr>
        <w:t xml:space="preserve">Proposal 9: </w:t>
      </w:r>
      <w:r>
        <w:rPr>
          <w:bCs/>
          <w:i/>
        </w:rPr>
        <w:t>If the first scheduled PUSCH and the second scheduled PUSCH are colliding in the time domain</w:t>
      </w:r>
      <w:r>
        <w:rPr>
          <w:rFonts w:hint="eastAsia" w:eastAsia="宋体"/>
          <w:bCs/>
          <w:i/>
          <w:lang w:val="en-US" w:eastAsia="zh-CN"/>
        </w:rPr>
        <w:t xml:space="preserve"> a</w:t>
      </w:r>
      <w:r>
        <w:rPr>
          <w:rFonts w:hint="eastAsia"/>
          <w:bCs/>
          <w:i/>
        </w:rPr>
        <w:t xml:space="preserve">nd the first scheduled PUSCH has started transmission, </w:t>
      </w:r>
      <w:r>
        <w:rPr>
          <w:rFonts w:hint="eastAsia" w:eastAsia="宋体"/>
          <w:bCs/>
          <w:i/>
          <w:lang w:val="en-US" w:eastAsia="zh-CN"/>
        </w:rPr>
        <w:t>define the ending symbol from where the UE should stop transmission of the first PUSCH.</w:t>
      </w:r>
    </w:p>
    <w:p>
      <w:pPr>
        <w:widowControl w:val="0"/>
        <w:snapToGrid w:val="0"/>
        <w:spacing w:after="120"/>
        <w:rPr>
          <w:rFonts w:hint="eastAsia" w:eastAsia="宋体" w:cs="Times New Roman"/>
          <w:b w:val="0"/>
          <w:bCs/>
          <w:color w:val="auto"/>
          <w:sz w:val="20"/>
          <w:szCs w:val="21"/>
          <w:lang w:val="en-US" w:eastAsia="zh-CN"/>
        </w:rPr>
      </w:pPr>
      <w:r>
        <w:rPr>
          <w:rFonts w:hint="eastAsia"/>
          <w:i w:val="0"/>
          <w:iCs/>
          <w:kern w:val="2"/>
          <w:lang w:val="en-US" w:eastAsia="zh-CN"/>
        </w:rPr>
        <w:t xml:space="preserve">For both Solution 1 and Solution 2, there is a possibility that the first scheduled PUSCH is dropped. </w:t>
      </w:r>
      <w:r>
        <w:rPr>
          <w:rFonts w:hint="eastAsia" w:ascii="Times New Roman" w:hAnsi="Times New Roman" w:eastAsia="宋体" w:cs="Times New Roman"/>
          <w:b w:val="0"/>
          <w:bCs/>
          <w:color w:val="auto"/>
          <w:sz w:val="20"/>
          <w:szCs w:val="21"/>
          <w:lang w:val="en-US" w:eastAsia="zh-CN"/>
        </w:rPr>
        <w:t>If there is UCI multiplexed in the dropped PUSCH, it is necessary to consider how to handle the UCI</w:t>
      </w:r>
      <w:r>
        <w:rPr>
          <w:rFonts w:hint="eastAsia" w:eastAsia="宋体" w:cs="Times New Roman"/>
          <w:b w:val="0"/>
          <w:bCs/>
          <w:color w:val="auto"/>
          <w:sz w:val="20"/>
          <w:szCs w:val="21"/>
          <w:lang w:val="en-US" w:eastAsia="zh-CN"/>
        </w:rPr>
        <w:t xml:space="preserve"> transmission, especially the HARQ-ACK</w:t>
      </w:r>
      <w:r>
        <w:rPr>
          <w:rFonts w:hint="eastAsia" w:ascii="Times New Roman" w:hAnsi="Times New Roman" w:eastAsia="宋体" w:cs="Times New Roman"/>
          <w:b w:val="0"/>
          <w:bCs/>
          <w:color w:val="auto"/>
          <w:sz w:val="20"/>
          <w:szCs w:val="21"/>
          <w:lang w:val="en-US" w:eastAsia="zh-CN"/>
        </w:rPr>
        <w:t>.</w:t>
      </w:r>
      <w:r>
        <w:rPr>
          <w:rFonts w:hint="eastAsia" w:eastAsia="宋体" w:cs="Times New Roman"/>
          <w:b w:val="0"/>
          <w:bCs/>
          <w:color w:val="auto"/>
          <w:sz w:val="20"/>
          <w:szCs w:val="21"/>
          <w:lang w:val="en-US" w:eastAsia="zh-CN"/>
        </w:rPr>
        <w:t xml:space="preserve"> Whether/how the UCI piggybacks on the second PUSCH needs further study.</w:t>
      </w:r>
    </w:p>
    <w:p>
      <w:pPr>
        <w:widowControl w:val="0"/>
        <w:snapToGrid w:val="0"/>
        <w:spacing w:after="120"/>
        <w:rPr>
          <w:rFonts w:hint="default" w:eastAsia="宋体" w:cs="Times New Roman"/>
          <w:b w:val="0"/>
          <w:bCs/>
          <w:i/>
          <w:iCs/>
          <w:color w:val="auto"/>
          <w:sz w:val="20"/>
          <w:szCs w:val="21"/>
          <w:lang w:val="en-US" w:eastAsia="zh-CN"/>
        </w:rPr>
      </w:pPr>
      <w:r>
        <w:rPr>
          <w:rFonts w:hint="eastAsia" w:eastAsia="宋体" w:cs="Times New Roman"/>
          <w:b/>
          <w:bCs w:val="0"/>
          <w:i/>
          <w:iCs/>
          <w:color w:val="auto"/>
          <w:sz w:val="20"/>
          <w:szCs w:val="21"/>
          <w:lang w:val="en-US" w:eastAsia="zh-CN"/>
        </w:rPr>
        <w:t>Proposal 10:</w:t>
      </w:r>
      <w:r>
        <w:rPr>
          <w:rFonts w:hint="eastAsia" w:eastAsia="宋体" w:cs="Times New Roman"/>
          <w:b w:val="0"/>
          <w:bCs/>
          <w:i/>
          <w:iCs/>
          <w:color w:val="auto"/>
          <w:sz w:val="20"/>
          <w:szCs w:val="21"/>
          <w:lang w:val="en-US" w:eastAsia="zh-CN"/>
        </w:rPr>
        <w:t xml:space="preserve"> FFS the handling of UCI on the dropped PUSCH.</w:t>
      </w:r>
    </w:p>
    <w:p>
      <w:pPr>
        <w:pStyle w:val="2"/>
        <w:snapToGrid w:val="0"/>
        <w:spacing w:beforeLines="0" w:after="180" w:afterLines="50"/>
      </w:pPr>
      <w:r>
        <w:rPr>
          <w:rFonts w:hint="eastAsia"/>
        </w:rPr>
        <w:t>Conclusion</w:t>
      </w:r>
    </w:p>
    <w:p>
      <w:pPr>
        <w:snapToGrid w:val="0"/>
        <w:spacing w:before="180" w:beforeLines="50"/>
        <w:rPr>
          <w:rFonts w:eastAsiaTheme="minorEastAsia"/>
          <w:bCs/>
          <w:iCs/>
          <w:lang w:val="en-US" w:eastAsia="zh-CN"/>
        </w:rPr>
      </w:pPr>
      <w:r>
        <w:rPr>
          <w:rFonts w:hint="eastAsia" w:eastAsiaTheme="minorEastAsia"/>
          <w:bCs/>
          <w:iCs/>
          <w:lang w:val="en-US" w:eastAsia="zh-CN"/>
        </w:rPr>
        <w:t>According to the analysis given above, we have the following proposals:</w:t>
      </w:r>
    </w:p>
    <w:p>
      <w:pPr>
        <w:snapToGrid w:val="0"/>
        <w:spacing w:before="180" w:beforeLines="50" w:after="120"/>
        <w:rPr>
          <w:rFonts w:hint="eastAsia" w:eastAsiaTheme="minorEastAsia"/>
          <w:b w:val="0"/>
          <w:bCs w:val="0"/>
          <w:i/>
          <w:iCs/>
          <w:lang w:val="en-US" w:eastAsia="zh-CN"/>
        </w:rPr>
      </w:pPr>
      <w:r>
        <w:rPr>
          <w:rFonts w:hint="eastAsia" w:eastAsiaTheme="minorEastAsia"/>
          <w:b/>
          <w:bCs/>
          <w:i/>
          <w:iCs/>
          <w:lang w:val="en-US" w:eastAsia="zh-CN"/>
        </w:rPr>
        <w:t xml:space="preserve">Proposal 1: </w:t>
      </w:r>
      <w:r>
        <w:rPr>
          <w:rFonts w:hint="eastAsia" w:eastAsiaTheme="minorEastAsia"/>
          <w:b w:val="0"/>
          <w:bCs w:val="0"/>
          <w:i/>
          <w:iCs/>
          <w:lang w:val="en-US" w:eastAsia="zh-CN"/>
        </w:rPr>
        <w:t xml:space="preserve">Do not study Scenario 1 </w:t>
      </w:r>
      <w:r>
        <w:rPr>
          <w:i/>
          <w:iCs/>
          <w:lang w:eastAsia="zh-CN"/>
        </w:rPr>
        <w:t>for the handling of two unicast PDSCHs</w:t>
      </w:r>
      <w:r>
        <w:rPr>
          <w:rFonts w:hint="eastAsia"/>
          <w:i/>
          <w:iCs/>
          <w:lang w:val="en-US" w:eastAsia="zh-CN"/>
        </w:rPr>
        <w:t xml:space="preserve">, where </w:t>
      </w:r>
      <w:r>
        <w:rPr>
          <w:rFonts w:hint="eastAsia" w:eastAsiaTheme="minorEastAsia"/>
          <w:b w:val="0"/>
          <w:bCs w:val="0"/>
          <w:i/>
          <w:iCs/>
          <w:lang w:val="en-US" w:eastAsia="zh-CN"/>
        </w:rPr>
        <w:t>Scenario 1 is defined as,</w:t>
      </w:r>
    </w:p>
    <w:p>
      <w:pPr>
        <w:numPr>
          <w:ilvl w:val="1"/>
          <w:numId w:val="5"/>
        </w:numPr>
        <w:snapToGrid w:val="0"/>
        <w:spacing w:before="180" w:beforeLines="50"/>
        <w:ind w:left="840" w:hanging="420"/>
        <w:rPr>
          <w:rFonts w:hint="default" w:eastAsiaTheme="minorEastAsia"/>
          <w:b/>
          <w:bCs/>
          <w:i/>
          <w:iCs/>
          <w:lang w:val="en-US" w:eastAsia="zh-CN"/>
        </w:rPr>
      </w:pPr>
      <w:r>
        <w:rPr>
          <w:rFonts w:hint="eastAsia"/>
          <w:b w:val="0"/>
          <w:bCs w:val="0"/>
          <w:i/>
          <w:iCs/>
          <w:kern w:val="2"/>
          <w:highlight w:val="none"/>
          <w:u w:val="none"/>
          <w:lang w:val="en-US" w:eastAsia="zh-CN"/>
        </w:rPr>
        <w:t>different DL processing times are associated with different PDSCHs on the same serving cell and the two PDSCHs are non-overlapping</w:t>
      </w:r>
      <w:r>
        <w:rPr>
          <w:rFonts w:hint="eastAsia"/>
          <w:i/>
          <w:iCs/>
          <w:kern w:val="2"/>
          <w:highlight w:val="none"/>
          <w:u w:val="none"/>
          <w:lang w:val="en-US" w:eastAsia="zh-CN"/>
        </w:rPr>
        <w:t xml:space="preserve">. </w:t>
      </w:r>
    </w:p>
    <w:p>
      <w:pPr>
        <w:snapToGrid w:val="0"/>
        <w:spacing w:before="180" w:beforeLines="50" w:after="120"/>
        <w:rPr>
          <w:rFonts w:hint="eastAsia" w:eastAsiaTheme="minorEastAsia"/>
          <w:b w:val="0"/>
          <w:bCs w:val="0"/>
          <w:i/>
          <w:iCs/>
          <w:lang w:val="en-US" w:eastAsia="zh-CN"/>
        </w:rPr>
      </w:pPr>
      <w:r>
        <w:rPr>
          <w:rFonts w:hint="eastAsia" w:eastAsiaTheme="minorEastAsia"/>
          <w:b/>
          <w:bCs/>
          <w:i/>
          <w:iCs/>
          <w:lang w:val="en-US" w:eastAsia="zh-CN"/>
        </w:rPr>
        <w:t xml:space="preserve">Proposal 2: </w:t>
      </w:r>
      <w:r>
        <w:rPr>
          <w:rFonts w:hint="eastAsia" w:eastAsiaTheme="minorEastAsia"/>
          <w:b w:val="0"/>
          <w:bCs w:val="0"/>
          <w:i/>
          <w:iCs/>
          <w:lang w:val="en-US" w:eastAsia="zh-CN"/>
        </w:rPr>
        <w:t xml:space="preserve">Do not study Scenario 2 </w:t>
      </w:r>
      <w:r>
        <w:rPr>
          <w:i/>
          <w:iCs/>
          <w:lang w:eastAsia="zh-CN"/>
        </w:rPr>
        <w:t>for the handling of two unicast PDSCHs</w:t>
      </w:r>
      <w:r>
        <w:rPr>
          <w:rFonts w:hint="eastAsia"/>
          <w:i/>
          <w:iCs/>
          <w:lang w:val="en-US" w:eastAsia="zh-CN"/>
        </w:rPr>
        <w:t xml:space="preserve">, where </w:t>
      </w:r>
      <w:r>
        <w:rPr>
          <w:rFonts w:hint="eastAsia" w:eastAsiaTheme="minorEastAsia"/>
          <w:b w:val="0"/>
          <w:bCs w:val="0"/>
          <w:i/>
          <w:iCs/>
          <w:lang w:val="en-US" w:eastAsia="zh-CN"/>
        </w:rPr>
        <w:t>Scenario 2 is defined as,</w:t>
      </w:r>
    </w:p>
    <w:p>
      <w:pPr>
        <w:numPr>
          <w:ilvl w:val="1"/>
          <w:numId w:val="5"/>
        </w:numPr>
        <w:snapToGrid w:val="0"/>
        <w:spacing w:before="180" w:beforeLines="50"/>
        <w:ind w:left="840" w:hanging="420"/>
        <w:rPr>
          <w:rFonts w:hint="default" w:eastAsiaTheme="minorEastAsia"/>
          <w:b/>
          <w:bCs/>
          <w:i/>
          <w:iCs/>
          <w:lang w:val="en-US" w:eastAsia="zh-CN"/>
        </w:rPr>
      </w:pPr>
      <w:r>
        <w:rPr>
          <w:rFonts w:hint="eastAsia"/>
          <w:i/>
          <w:iCs/>
          <w:u w:val="none"/>
          <w:lang w:val="en-US" w:eastAsia="zh-CN"/>
        </w:rPr>
        <w:t>w</w:t>
      </w:r>
      <w:r>
        <w:rPr>
          <w:i/>
          <w:iCs/>
          <w:u w:val="none"/>
          <w:lang w:eastAsia="zh-CN"/>
        </w:rPr>
        <w:t xml:space="preserve">hen the </w:t>
      </w:r>
      <w:r>
        <w:rPr>
          <w:i/>
          <w:iCs/>
          <w:highlight w:val="none"/>
          <w:u w:val="none"/>
          <w:lang w:eastAsia="zh-CN"/>
        </w:rPr>
        <w:t xml:space="preserve">same </w:t>
      </w:r>
      <w:r>
        <w:rPr>
          <w:i/>
          <w:iCs/>
          <w:u w:val="none"/>
          <w:lang w:eastAsia="zh-CN"/>
        </w:rPr>
        <w:t>DL processing time is configured on the same serving cell, and the two PDSCHs are non-overlapping, and the PDSCH-to-PUCCHs are out of order</w:t>
      </w:r>
    </w:p>
    <w:p>
      <w:pPr>
        <w:numPr>
          <w:ilvl w:val="-1"/>
          <w:numId w:val="0"/>
        </w:numPr>
        <w:snapToGrid w:val="0"/>
        <w:spacing w:before="180" w:beforeLines="50" w:after="120"/>
        <w:ind w:left="0" w:firstLine="0"/>
        <w:rPr>
          <w:rFonts w:hint="default"/>
          <w:i/>
          <w:iCs/>
          <w:lang w:val="en-US" w:eastAsia="zh-CN"/>
        </w:rPr>
      </w:pPr>
      <w:r>
        <w:rPr>
          <w:rFonts w:hint="eastAsia" w:eastAsiaTheme="minorEastAsia"/>
          <w:b/>
          <w:bCs/>
          <w:i/>
          <w:iCs/>
          <w:lang w:val="en-US" w:eastAsia="zh-CN"/>
        </w:rPr>
        <w:t xml:space="preserve">Proposal 3: </w:t>
      </w:r>
      <w:r>
        <w:rPr>
          <w:rFonts w:hint="eastAsia" w:eastAsiaTheme="minorEastAsia"/>
          <w:b w:val="0"/>
          <w:bCs w:val="0"/>
          <w:i/>
          <w:iCs/>
          <w:lang w:val="en-US" w:eastAsia="zh-CN"/>
        </w:rPr>
        <w:t xml:space="preserve">Further study Scenario 3 </w:t>
      </w:r>
      <w:r>
        <w:rPr>
          <w:i/>
          <w:iCs/>
          <w:lang w:eastAsia="zh-CN"/>
        </w:rPr>
        <w:t>for the handling of two unicast PDSCHs</w:t>
      </w:r>
      <w:r>
        <w:rPr>
          <w:rFonts w:hint="eastAsia"/>
          <w:i/>
          <w:iCs/>
          <w:lang w:val="en-US" w:eastAsia="zh-CN"/>
        </w:rPr>
        <w:t xml:space="preserve">, where </w:t>
      </w:r>
      <w:r>
        <w:rPr>
          <w:rFonts w:hint="eastAsia" w:eastAsiaTheme="minorEastAsia"/>
          <w:b w:val="0"/>
          <w:bCs w:val="0"/>
          <w:i/>
          <w:iCs/>
          <w:lang w:val="en-US" w:eastAsia="zh-CN"/>
        </w:rPr>
        <w:t>Scenario 3 is defined as,</w:t>
      </w:r>
    </w:p>
    <w:p>
      <w:pPr>
        <w:numPr>
          <w:ilvl w:val="1"/>
          <w:numId w:val="5"/>
        </w:numPr>
        <w:snapToGrid w:val="0"/>
        <w:spacing w:before="180" w:beforeLines="50"/>
        <w:ind w:left="840" w:hanging="420"/>
        <w:rPr>
          <w:rFonts w:hint="default"/>
          <w:i/>
          <w:iCs/>
          <w:sz w:val="21"/>
          <w:szCs w:val="22"/>
          <w:u w:val="none"/>
          <w:lang w:val="en-US" w:eastAsia="zh-CN"/>
        </w:rPr>
      </w:pPr>
      <w:r>
        <w:rPr>
          <w:rFonts w:hint="eastAsia"/>
          <w:i/>
          <w:iCs/>
          <w:sz w:val="21"/>
          <w:szCs w:val="22"/>
          <w:u w:val="none"/>
          <w:lang w:val="en-US" w:eastAsia="zh-CN"/>
        </w:rPr>
        <w:t>t</w:t>
      </w:r>
      <w:bookmarkStart w:id="7" w:name="_GoBack"/>
      <w:bookmarkEnd w:id="7"/>
      <w:r>
        <w:rPr>
          <w:i/>
          <w:iCs/>
          <w:sz w:val="21"/>
          <w:szCs w:val="22"/>
          <w:u w:val="none"/>
          <w:lang w:eastAsia="zh-CN"/>
        </w:rPr>
        <w:t>he two unicast PDSCHs are overlapping at least in the time domain, regardless of whether the same or different DL processing times is configured on the same serving cell</w:t>
      </w:r>
      <w:r>
        <w:rPr>
          <w:rFonts w:hint="default"/>
          <w:i/>
          <w:iCs/>
          <w:kern w:val="0"/>
          <w:sz w:val="21"/>
          <w:szCs w:val="22"/>
          <w:u w:val="none"/>
          <w:lang w:val="en-US" w:eastAsia="zh-CN"/>
        </w:rPr>
        <w:t xml:space="preserve">. </w:t>
      </w:r>
    </w:p>
    <w:p>
      <w:pPr>
        <w:numPr>
          <w:ilvl w:val="-1"/>
          <w:numId w:val="0"/>
        </w:numPr>
        <w:snapToGrid w:val="0"/>
        <w:spacing w:before="180" w:beforeLines="50" w:after="120"/>
        <w:ind w:left="0" w:firstLine="0"/>
        <w:rPr>
          <w:rFonts w:hint="eastAsia" w:eastAsiaTheme="minorEastAsia"/>
          <w:b w:val="0"/>
          <w:bCs w:val="0"/>
          <w:i/>
          <w:iCs/>
          <w:lang w:val="en-US" w:eastAsia="zh-CN"/>
        </w:rPr>
      </w:pPr>
      <w:r>
        <w:rPr>
          <w:rFonts w:hint="eastAsia" w:eastAsiaTheme="minorEastAsia"/>
          <w:b/>
          <w:bCs/>
          <w:i/>
          <w:iCs/>
          <w:lang w:val="en-US" w:eastAsia="zh-CN"/>
        </w:rPr>
        <w:t xml:space="preserve">Proposal 4: </w:t>
      </w:r>
      <w:r>
        <w:rPr>
          <w:rFonts w:hint="eastAsia" w:eastAsiaTheme="minorEastAsia"/>
          <w:b w:val="0"/>
          <w:bCs w:val="0"/>
          <w:i/>
          <w:iCs/>
          <w:lang w:val="en-US" w:eastAsia="zh-CN"/>
        </w:rPr>
        <w:t xml:space="preserve">Further study </w:t>
      </w:r>
      <w:r>
        <w:rPr>
          <w:i/>
          <w:iCs/>
          <w:lang w:eastAsia="zh-CN"/>
        </w:rPr>
        <w:t>whether/how to support</w:t>
      </w:r>
      <w:r>
        <w:rPr>
          <w:rFonts w:hint="eastAsia"/>
          <w:i/>
          <w:iCs/>
          <w:lang w:val="en-US" w:eastAsia="zh-CN"/>
        </w:rPr>
        <w:t xml:space="preserve"> </w:t>
      </w:r>
      <w:r>
        <w:rPr>
          <w:rFonts w:hint="eastAsia" w:eastAsiaTheme="minorEastAsia"/>
          <w:b w:val="0"/>
          <w:bCs w:val="0"/>
          <w:i/>
          <w:iCs/>
          <w:lang w:val="en-US" w:eastAsia="zh-CN"/>
        </w:rPr>
        <w:t xml:space="preserve">Scenario 4 </w:t>
      </w:r>
      <w:r>
        <w:rPr>
          <w:i/>
          <w:iCs/>
          <w:lang w:eastAsia="zh-CN"/>
        </w:rPr>
        <w:t>for the handling of two unicast PDSCHs</w:t>
      </w:r>
      <w:r>
        <w:rPr>
          <w:rFonts w:hint="eastAsia"/>
          <w:i/>
          <w:iCs/>
          <w:lang w:val="en-US" w:eastAsia="zh-CN"/>
        </w:rPr>
        <w:t xml:space="preserve">, where </w:t>
      </w:r>
      <w:r>
        <w:rPr>
          <w:rFonts w:hint="eastAsia" w:eastAsiaTheme="minorEastAsia"/>
          <w:b w:val="0"/>
          <w:bCs w:val="0"/>
          <w:i/>
          <w:iCs/>
          <w:lang w:val="en-US" w:eastAsia="zh-CN"/>
        </w:rPr>
        <w:t>Scenario 4 is defined as,</w:t>
      </w:r>
    </w:p>
    <w:p>
      <w:pPr>
        <w:numPr>
          <w:ilvl w:val="1"/>
          <w:numId w:val="5"/>
        </w:numPr>
        <w:snapToGrid w:val="0"/>
        <w:spacing w:before="180" w:beforeLines="50"/>
        <w:ind w:left="840" w:hanging="420"/>
        <w:rPr>
          <w:rFonts w:hint="eastAsia"/>
          <w:i/>
          <w:iCs/>
          <w:lang w:val="en-US" w:eastAsia="zh-CN"/>
        </w:rPr>
      </w:pPr>
      <w:r>
        <w:rPr>
          <w:rFonts w:hint="eastAsia"/>
          <w:b w:val="0"/>
          <w:bCs w:val="0"/>
          <w:i/>
          <w:iCs/>
          <w:kern w:val="2"/>
          <w:sz w:val="20"/>
          <w:szCs w:val="20"/>
          <w:u w:val="none"/>
          <w:shd w:val="clear" w:color="auto" w:fill="auto"/>
          <w:lang w:val="en-US" w:eastAsia="zh-CN"/>
        </w:rPr>
        <w:t xml:space="preserve">three consecutive PDSCHs, in which the first two PDSCHs overlap at least in the time domain and non-overlap with the third PDSCH. </w:t>
      </w:r>
      <w:r>
        <w:rPr>
          <w:rFonts w:hint="default"/>
          <w:b w:val="0"/>
          <w:bCs w:val="0"/>
          <w:i/>
          <w:iCs/>
          <w:kern w:val="0"/>
          <w:sz w:val="20"/>
          <w:szCs w:val="20"/>
          <w:u w:val="none"/>
          <w:shd w:val="clear" w:color="auto" w:fill="auto"/>
          <w:lang w:val="en-US" w:eastAsia="zh-CN"/>
        </w:rPr>
        <w:t xml:space="preserve"> </w:t>
      </w:r>
    </w:p>
    <w:p>
      <w:pPr>
        <w:numPr>
          <w:ilvl w:val="1"/>
          <w:numId w:val="5"/>
        </w:numPr>
        <w:snapToGrid w:val="0"/>
        <w:spacing w:before="180" w:beforeLines="50"/>
        <w:ind w:left="840" w:hanging="420"/>
        <w:rPr>
          <w:rFonts w:hint="eastAsia"/>
          <w:i/>
          <w:iCs/>
          <w:lang w:val="en-US" w:eastAsia="zh-CN"/>
        </w:rPr>
      </w:pPr>
      <w:r>
        <w:rPr>
          <w:rFonts w:hint="eastAsia" w:eastAsiaTheme="minorEastAsia"/>
          <w:b w:val="0"/>
          <w:bCs w:val="0"/>
          <w:i/>
          <w:iCs/>
          <w:lang w:val="en-US" w:eastAsia="zh-CN"/>
        </w:rPr>
        <w:t xml:space="preserve">Note, it depends on whether </w:t>
      </w:r>
      <w:r>
        <w:rPr>
          <w:rFonts w:hint="eastAsia"/>
          <w:i/>
          <w:iCs/>
          <w:lang w:val="en-US" w:eastAsia="zh-CN"/>
        </w:rPr>
        <w:t xml:space="preserve">Solution 4-2 is supported or not. </w:t>
      </w:r>
    </w:p>
    <w:p>
      <w:pPr>
        <w:snapToGrid w:val="0"/>
        <w:rPr>
          <w:i/>
          <w:iCs/>
          <w:kern w:val="2"/>
          <w:sz w:val="21"/>
          <w:szCs w:val="22"/>
          <w:lang w:val="en-US" w:eastAsia="zh-CN"/>
        </w:rPr>
      </w:pPr>
      <w:r>
        <w:rPr>
          <w:rFonts w:hint="eastAsia"/>
          <w:b/>
          <w:bCs/>
          <w:i/>
          <w:iCs/>
          <w:kern w:val="2"/>
          <w:lang w:val="en-US" w:eastAsia="zh-CN"/>
        </w:rPr>
        <w:t xml:space="preserve">Proposal 5: </w:t>
      </w:r>
      <w:r>
        <w:rPr>
          <w:rFonts w:hint="eastAsia"/>
          <w:i/>
          <w:iCs/>
          <w:kern w:val="2"/>
          <w:lang w:val="en-US" w:eastAsia="zh-CN"/>
        </w:rPr>
        <w:t>Solution 1 should be supported to define UE behavior f</w:t>
      </w:r>
      <w:r>
        <w:rPr>
          <w:rFonts w:hint="eastAsia"/>
          <w:i/>
          <w:iCs/>
          <w:kern w:val="2"/>
          <w:sz w:val="21"/>
          <w:szCs w:val="22"/>
          <w:lang w:val="en-US" w:eastAsia="zh-CN"/>
        </w:rPr>
        <w:t>or out-of-order HARQ-ACK scheduling.</w:t>
      </w:r>
    </w:p>
    <w:p>
      <w:pPr>
        <w:widowControl w:val="0"/>
        <w:snapToGrid w:val="0"/>
        <w:spacing w:after="120"/>
        <w:rPr>
          <w:kern w:val="2"/>
          <w:lang w:val="en-US" w:eastAsia="zh-CN"/>
        </w:rPr>
      </w:pPr>
      <w:r>
        <w:rPr>
          <w:rFonts w:hint="eastAsia"/>
          <w:b/>
          <w:bCs/>
          <w:i/>
          <w:iCs/>
          <w:kern w:val="2"/>
          <w:lang w:val="en-US" w:eastAsia="zh-CN"/>
        </w:rPr>
        <w:t xml:space="preserve">Proposal 6: </w:t>
      </w:r>
      <w:r>
        <w:rPr>
          <w:rFonts w:hint="eastAsia"/>
          <w:i/>
          <w:iCs/>
          <w:kern w:val="2"/>
          <w:lang w:val="en-US" w:eastAsia="zh-CN"/>
        </w:rPr>
        <w:t>No need to specify that out-of-order operation is allowed or not across PDSCHs with PDSCH-to-HARQ gap compatible with PDSCH processing time (N1) for capability X</w:t>
      </w:r>
      <w:r>
        <w:rPr>
          <w:rFonts w:hint="eastAsia"/>
          <w:i/>
          <w:iCs/>
          <w:kern w:val="2"/>
          <w:sz w:val="21"/>
          <w:szCs w:val="22"/>
          <w:lang w:val="en-US" w:eastAsia="zh-CN"/>
        </w:rPr>
        <w:t>.</w:t>
      </w:r>
    </w:p>
    <w:p>
      <w:pPr>
        <w:widowControl w:val="0"/>
        <w:snapToGrid w:val="0"/>
        <w:spacing w:after="120"/>
        <w:rPr>
          <w:i/>
          <w:iCs/>
          <w:kern w:val="2"/>
          <w:sz w:val="21"/>
          <w:szCs w:val="22"/>
          <w:lang w:val="en-US" w:eastAsia="zh-CN"/>
        </w:rPr>
      </w:pPr>
      <w:r>
        <w:rPr>
          <w:rFonts w:hint="eastAsia"/>
          <w:b/>
          <w:bCs/>
          <w:i/>
          <w:iCs/>
          <w:kern w:val="2"/>
          <w:lang w:val="en-US" w:eastAsia="zh-CN"/>
        </w:rPr>
        <w:t xml:space="preserve">Proposal </w:t>
      </w:r>
      <w:r>
        <w:rPr>
          <w:rFonts w:hint="eastAsia" w:eastAsiaTheme="minorEastAsia"/>
          <w:b/>
          <w:bCs/>
          <w:i/>
          <w:iCs/>
          <w:kern w:val="2"/>
          <w:lang w:val="en-US" w:eastAsia="zh-CN"/>
        </w:rPr>
        <w:t>7</w:t>
      </w:r>
      <w:r>
        <w:rPr>
          <w:rFonts w:hint="eastAsia"/>
          <w:b/>
          <w:bCs/>
          <w:i/>
          <w:iCs/>
          <w:kern w:val="2"/>
          <w:lang w:val="en-US" w:eastAsia="zh-CN"/>
        </w:rPr>
        <w:t xml:space="preserve">: </w:t>
      </w:r>
      <w:r>
        <w:rPr>
          <w:rFonts w:hint="eastAsia"/>
          <w:i/>
          <w:iCs/>
          <w:kern w:val="2"/>
          <w:lang w:val="en-US" w:eastAsia="zh-CN"/>
        </w:rPr>
        <w:t>Solution 1 or Solution 2 can be supported for out-of-order PUSCH scheduling</w:t>
      </w:r>
      <w:r>
        <w:rPr>
          <w:rFonts w:hint="eastAsia"/>
          <w:i/>
          <w:iCs/>
          <w:kern w:val="2"/>
          <w:sz w:val="21"/>
          <w:szCs w:val="22"/>
          <w:lang w:val="en-US" w:eastAsia="zh-CN"/>
        </w:rPr>
        <w:t>.</w:t>
      </w:r>
    </w:p>
    <w:p>
      <w:pPr>
        <w:widowControl w:val="0"/>
        <w:snapToGrid w:val="0"/>
        <w:spacing w:after="120"/>
        <w:rPr>
          <w:rFonts w:hint="eastAsia"/>
          <w:i/>
          <w:iCs/>
          <w:kern w:val="2"/>
          <w:lang w:val="en-US" w:eastAsia="zh-CN"/>
        </w:rPr>
      </w:pPr>
      <w:r>
        <w:rPr>
          <w:rFonts w:hint="eastAsia"/>
          <w:b/>
          <w:bCs/>
          <w:i/>
          <w:iCs/>
          <w:kern w:val="2"/>
          <w:lang w:val="en-US" w:eastAsia="zh-CN"/>
        </w:rPr>
        <w:t xml:space="preserve">Proposal </w:t>
      </w:r>
      <w:r>
        <w:rPr>
          <w:rFonts w:hint="eastAsia" w:eastAsiaTheme="minorEastAsia"/>
          <w:b/>
          <w:bCs/>
          <w:i/>
          <w:iCs/>
          <w:kern w:val="2"/>
          <w:lang w:val="en-US" w:eastAsia="zh-CN"/>
        </w:rPr>
        <w:t>8</w:t>
      </w:r>
      <w:r>
        <w:rPr>
          <w:rFonts w:hint="eastAsia"/>
          <w:b/>
          <w:bCs/>
          <w:i/>
          <w:iCs/>
          <w:kern w:val="2"/>
          <w:lang w:val="en-US" w:eastAsia="zh-CN"/>
        </w:rPr>
        <w:t xml:space="preserve">: </w:t>
      </w:r>
      <w:r>
        <w:rPr>
          <w:rFonts w:hint="eastAsia"/>
          <w:i/>
          <w:iCs/>
          <w:kern w:val="2"/>
          <w:lang w:val="en-US" w:eastAsia="zh-CN"/>
        </w:rPr>
        <w:t>No need to specify that out-of-order operation is allowed or not across PUSCHs with PDCCH-to-PUSCH gap compatible with PUSCH processing time (N2) for capability X.</w:t>
      </w:r>
    </w:p>
    <w:p>
      <w:pPr>
        <w:widowControl w:val="0"/>
        <w:snapToGrid w:val="0"/>
        <w:spacing w:after="120"/>
        <w:rPr>
          <w:rFonts w:hint="eastAsia" w:eastAsia="宋体"/>
          <w:bCs/>
          <w:i/>
          <w:lang w:val="en-US" w:eastAsia="zh-CN"/>
        </w:rPr>
      </w:pPr>
      <w:r>
        <w:rPr>
          <w:rFonts w:hint="eastAsia"/>
          <w:b/>
          <w:bCs/>
          <w:i/>
          <w:iCs/>
          <w:kern w:val="2"/>
          <w:lang w:val="en-US" w:eastAsia="zh-CN"/>
        </w:rPr>
        <w:t xml:space="preserve">Proposal 9: </w:t>
      </w:r>
      <w:r>
        <w:rPr>
          <w:bCs/>
          <w:i/>
        </w:rPr>
        <w:t>If the first scheduled PUSCH and the second scheduled PUSCH are colliding in the time domain</w:t>
      </w:r>
      <w:r>
        <w:rPr>
          <w:rFonts w:hint="eastAsia" w:eastAsia="宋体"/>
          <w:bCs/>
          <w:i/>
          <w:lang w:val="en-US" w:eastAsia="zh-CN"/>
        </w:rPr>
        <w:t xml:space="preserve"> a</w:t>
      </w:r>
      <w:r>
        <w:rPr>
          <w:rFonts w:hint="eastAsia"/>
          <w:bCs/>
          <w:i/>
        </w:rPr>
        <w:t xml:space="preserve">nd the first scheduled PUSCH has started transmission, </w:t>
      </w:r>
      <w:r>
        <w:rPr>
          <w:rFonts w:hint="eastAsia" w:eastAsia="宋体"/>
          <w:bCs/>
          <w:i/>
          <w:lang w:val="en-US" w:eastAsia="zh-CN"/>
        </w:rPr>
        <w:t>define the ending symbol from where the UE should stop transmission of the first PUSCH.</w:t>
      </w:r>
    </w:p>
    <w:p>
      <w:pPr>
        <w:widowControl w:val="0"/>
        <w:snapToGrid w:val="0"/>
        <w:spacing w:after="120"/>
        <w:rPr>
          <w:rFonts w:hint="default" w:eastAsia="宋体" w:cs="Times New Roman"/>
          <w:b w:val="0"/>
          <w:bCs/>
          <w:i/>
          <w:iCs/>
          <w:color w:val="auto"/>
          <w:sz w:val="20"/>
          <w:szCs w:val="21"/>
          <w:lang w:val="en-US" w:eastAsia="zh-CN"/>
        </w:rPr>
      </w:pPr>
      <w:r>
        <w:rPr>
          <w:rFonts w:hint="eastAsia" w:eastAsia="宋体" w:cs="Times New Roman"/>
          <w:b/>
          <w:bCs w:val="0"/>
          <w:i/>
          <w:iCs/>
          <w:color w:val="auto"/>
          <w:sz w:val="20"/>
          <w:szCs w:val="21"/>
          <w:lang w:val="en-US" w:eastAsia="zh-CN"/>
        </w:rPr>
        <w:t>Proposal 10:</w:t>
      </w:r>
      <w:r>
        <w:rPr>
          <w:rFonts w:hint="eastAsia" w:eastAsia="宋体" w:cs="Times New Roman"/>
          <w:b w:val="0"/>
          <w:bCs/>
          <w:i/>
          <w:iCs/>
          <w:color w:val="auto"/>
          <w:sz w:val="20"/>
          <w:szCs w:val="21"/>
          <w:lang w:val="en-US" w:eastAsia="zh-CN"/>
        </w:rPr>
        <w:t xml:space="preserve"> FFS the handling of UCI on the dropped PUSCH.</w:t>
      </w:r>
    </w:p>
    <w:p>
      <w:pPr>
        <w:pStyle w:val="2"/>
        <w:snapToGrid w:val="0"/>
        <w:spacing w:beforeLines="0" w:after="180" w:afterLines="50"/>
      </w:pPr>
      <w:r>
        <w:rPr>
          <w:rFonts w:hint="eastAsia"/>
        </w:rPr>
        <w:t>Reference</w:t>
      </w:r>
    </w:p>
    <w:p>
      <w:pPr>
        <w:pStyle w:val="83"/>
        <w:numPr>
          <w:ilvl w:val="0"/>
          <w:numId w:val="6"/>
        </w:numPr>
        <w:snapToGrid w:val="0"/>
        <w:ind w:firstLineChars="0"/>
        <w:rPr>
          <w:rFonts w:ascii="Times New Roman" w:hAnsi="Times New Roman"/>
          <w:sz w:val="20"/>
          <w:szCs w:val="20"/>
          <w:lang w:val="en-US" w:eastAsia="zh-CN"/>
        </w:rPr>
      </w:pPr>
      <w:bookmarkStart w:id="6" w:name="_Ref427157992"/>
      <w:r>
        <w:rPr>
          <w:rFonts w:hint="eastAsia" w:ascii="Times New Roman" w:hAnsi="Times New Roman"/>
          <w:sz w:val="20"/>
          <w:szCs w:val="20"/>
          <w:lang w:val="en-US" w:eastAsia="zh-CN"/>
        </w:rPr>
        <w:t>3GPP RAN #83, RP-190726, New WID: Physical Layer Enhancements for NR Ultra-Reliable and Low Latency Communication (URLLC), Huawei, HiSilicon.</w:t>
      </w:r>
    </w:p>
    <w:p>
      <w:pPr>
        <w:pStyle w:val="83"/>
        <w:numPr>
          <w:ilvl w:val="0"/>
          <w:numId w:val="6"/>
        </w:numPr>
        <w:snapToGrid w:val="0"/>
        <w:ind w:firstLineChars="0"/>
        <w:rPr>
          <w:rFonts w:hint="eastAsia" w:ascii="Times New Roman" w:hAnsi="Times New Roman"/>
          <w:sz w:val="20"/>
          <w:szCs w:val="20"/>
          <w:lang w:val="en-US" w:eastAsia="zh-CN"/>
        </w:rPr>
      </w:pPr>
      <w:r>
        <w:rPr>
          <w:rFonts w:hint="eastAsia" w:ascii="Times New Roman" w:hAnsi="Times New Roman"/>
          <w:sz w:val="20"/>
          <w:szCs w:val="20"/>
          <w:lang w:val="en-US" w:eastAsia="zh-CN"/>
        </w:rPr>
        <w:t>3GPP RAN1 #96bis, RAN1 Chairman notes.</w:t>
      </w:r>
    </w:p>
    <w:p>
      <w:pPr>
        <w:pStyle w:val="83"/>
        <w:numPr>
          <w:ilvl w:val="0"/>
          <w:numId w:val="6"/>
        </w:numPr>
        <w:snapToGrid w:val="0"/>
        <w:ind w:firstLineChars="0"/>
        <w:rPr>
          <w:rFonts w:hint="eastAsia" w:ascii="Times New Roman" w:hAnsi="Times New Roman"/>
          <w:sz w:val="20"/>
          <w:szCs w:val="20"/>
          <w:lang w:val="en-US" w:eastAsia="zh-CN"/>
        </w:rPr>
      </w:pPr>
      <w:r>
        <w:rPr>
          <w:rFonts w:hint="eastAsia" w:ascii="Times New Roman" w:hAnsi="Times New Roman"/>
          <w:sz w:val="20"/>
          <w:szCs w:val="20"/>
          <w:lang w:val="en-US" w:eastAsia="zh-CN"/>
        </w:rPr>
        <w:t>3GPP RAN1 #97, RAN1 Chairman notes.</w:t>
      </w:r>
    </w:p>
    <w:bookmarkEnd w:id="6"/>
    <w:p>
      <w:pPr>
        <w:widowControl w:val="0"/>
        <w:overflowPunct/>
        <w:autoSpaceDE/>
        <w:autoSpaceDN/>
        <w:adjustRightInd/>
        <w:snapToGrid w:val="0"/>
        <w:spacing w:after="0"/>
        <w:textAlignment w:val="auto"/>
        <w:rPr>
          <w:rFonts w:eastAsia="宋体"/>
          <w:lang w:val="en-US" w:eastAsia="zh-CN"/>
        </w:rPr>
      </w:pPr>
    </w:p>
    <w:p>
      <w:pPr>
        <w:pStyle w:val="2"/>
        <w:snapToGrid w:val="0"/>
        <w:spacing w:beforeLines="0" w:after="180" w:afterLines="50"/>
        <w:rPr>
          <w:rFonts w:hint="eastAsia"/>
          <w:lang w:val="en-US" w:eastAsia="zh-CN"/>
        </w:rPr>
      </w:pPr>
      <w:r>
        <w:rPr>
          <w:rFonts w:hint="eastAsia"/>
          <w:lang w:val="en-US" w:eastAsia="zh-CN"/>
        </w:rPr>
        <w:t>Appendix</w:t>
      </w:r>
    </w:p>
    <w:p>
      <w:pPr>
        <w:rPr>
          <w:szCs w:val="20"/>
        </w:rPr>
      </w:pPr>
      <w:r>
        <w:rPr>
          <w:szCs w:val="20"/>
          <w:highlight w:val="green"/>
        </w:rPr>
        <w:t>Agreements</w:t>
      </w:r>
      <w:r>
        <w:rPr>
          <w:szCs w:val="20"/>
        </w:rPr>
        <w:t>:</w:t>
      </w:r>
    </w:p>
    <w:p>
      <w:pPr>
        <w:snapToGrid w:val="0"/>
        <w:spacing w:after="120" w:line="252" w:lineRule="auto"/>
        <w:jc w:val="both"/>
        <w:rPr>
          <w:rFonts w:eastAsia="Times New Roman"/>
          <w:bCs/>
          <w:iCs/>
          <w:sz w:val="20"/>
          <w:szCs w:val="20"/>
        </w:rPr>
      </w:pPr>
      <w:r>
        <w:rPr>
          <w:rFonts w:eastAsia="Times New Roman"/>
          <w:bCs/>
          <w:iCs/>
          <w:sz w:val="20"/>
          <w:szCs w:val="20"/>
        </w:rPr>
        <w:t>For a Rel. 16 eURLLC UE and dynamic downlink scheduling, on the active BWP of a given serving cell, the HARQ-ACK associated with the second PDSCH with HARQ process ID x received after the first PDSCH with HARQ process ID y (x != y) can be sent before the HARQ-ACK of the first PDSCH. Specify based on the following solutions:</w:t>
      </w:r>
    </w:p>
    <w:p>
      <w:pPr>
        <w:pStyle w:val="106"/>
        <w:numPr>
          <w:ilvl w:val="0"/>
          <w:numId w:val="7"/>
        </w:numPr>
        <w:snapToGrid w:val="0"/>
        <w:spacing w:after="120" w:line="252" w:lineRule="auto"/>
        <w:ind w:leftChars="0"/>
        <w:jc w:val="both"/>
        <w:rPr>
          <w:rFonts w:ascii="Times New Roman" w:hAnsi="Times New Roman" w:eastAsia="Times New Roman"/>
          <w:bCs/>
          <w:iCs/>
          <w:sz w:val="20"/>
          <w:szCs w:val="20"/>
        </w:rPr>
      </w:pPr>
      <w:r>
        <w:rPr>
          <w:rFonts w:ascii="Times New Roman" w:hAnsi="Times New Roman" w:eastAsia="Times New Roman"/>
          <w:bCs/>
          <w:iCs/>
          <w:sz w:val="20"/>
          <w:szCs w:val="20"/>
        </w:rPr>
        <w:t>Solution 1: The UE always processes the second PDSCH. The UE may or may not drop the processing of the first channel.</w:t>
      </w:r>
    </w:p>
    <w:p>
      <w:pPr>
        <w:numPr>
          <w:ilvl w:val="0"/>
          <w:numId w:val="7"/>
        </w:numPr>
        <w:snapToGrid w:val="0"/>
        <w:spacing w:after="120" w:line="252" w:lineRule="auto"/>
        <w:jc w:val="both"/>
        <w:rPr>
          <w:rFonts w:eastAsia="Times New Roman"/>
          <w:bCs/>
          <w:iCs/>
          <w:sz w:val="20"/>
          <w:szCs w:val="20"/>
        </w:rPr>
      </w:pPr>
      <w:r>
        <w:rPr>
          <w:rFonts w:eastAsia="Times New Roman"/>
          <w:bCs/>
          <w:iCs/>
          <w:sz w:val="20"/>
          <w:szCs w:val="20"/>
        </w:rPr>
        <w:t>Solution 2: The UE processes both the first and second PDSCHs as a UE capability with no condition.</w:t>
      </w:r>
    </w:p>
    <w:p>
      <w:pPr>
        <w:numPr>
          <w:ilvl w:val="0"/>
          <w:numId w:val="7"/>
        </w:numPr>
        <w:snapToGrid w:val="0"/>
        <w:spacing w:after="120" w:line="252" w:lineRule="auto"/>
        <w:jc w:val="both"/>
        <w:rPr>
          <w:rFonts w:eastAsia="Times New Roman"/>
          <w:bCs/>
          <w:iCs/>
          <w:sz w:val="20"/>
          <w:szCs w:val="20"/>
        </w:rPr>
      </w:pPr>
      <w:r>
        <w:rPr>
          <w:rFonts w:eastAsia="Times New Roman"/>
          <w:bCs/>
          <w:iCs/>
          <w:sz w:val="20"/>
          <w:szCs w:val="20"/>
        </w:rPr>
        <w:t xml:space="preserve">Solution 3: The UE processes both the first and second channels under some conditions, e.g. using the CA capability. The conditions are reported as a UE capability. If the conditions are not satisfied, the UE behavior is not defined. </w:t>
      </w:r>
    </w:p>
    <w:p>
      <w:pPr>
        <w:numPr>
          <w:ilvl w:val="1"/>
          <w:numId w:val="7"/>
        </w:numPr>
        <w:snapToGrid w:val="0"/>
        <w:spacing w:after="120" w:line="252" w:lineRule="auto"/>
        <w:jc w:val="both"/>
        <w:rPr>
          <w:rFonts w:eastAsia="Times New Roman"/>
          <w:bCs/>
          <w:iCs/>
          <w:sz w:val="20"/>
          <w:szCs w:val="20"/>
        </w:rPr>
      </w:pPr>
      <w:r>
        <w:rPr>
          <w:rFonts w:eastAsia="Times New Roman"/>
          <w:bCs/>
          <w:iCs/>
          <w:sz w:val="20"/>
          <w:szCs w:val="20"/>
        </w:rPr>
        <w:t>FFS: The details of the UE capability.</w:t>
      </w:r>
    </w:p>
    <w:p>
      <w:pPr>
        <w:numPr>
          <w:ilvl w:val="0"/>
          <w:numId w:val="7"/>
        </w:numPr>
        <w:snapToGrid w:val="0"/>
        <w:spacing w:after="120" w:line="252" w:lineRule="auto"/>
        <w:jc w:val="both"/>
        <w:rPr>
          <w:rFonts w:eastAsia="Times New Roman"/>
          <w:bCs/>
          <w:iCs/>
          <w:sz w:val="20"/>
          <w:szCs w:val="20"/>
        </w:rPr>
      </w:pPr>
      <w:r>
        <w:rPr>
          <w:rFonts w:eastAsia="Times New Roman"/>
          <w:bCs/>
          <w:iCs/>
          <w:sz w:val="20"/>
          <w:szCs w:val="20"/>
        </w:rPr>
        <w:t xml:space="preserve">Solution 4: </w:t>
      </w:r>
    </w:p>
    <w:p>
      <w:pPr>
        <w:numPr>
          <w:ilvl w:val="1"/>
          <w:numId w:val="7"/>
        </w:numPr>
        <w:snapToGrid w:val="0"/>
        <w:spacing w:after="120" w:line="252" w:lineRule="auto"/>
        <w:jc w:val="both"/>
        <w:rPr>
          <w:rFonts w:eastAsia="Times New Roman"/>
          <w:bCs/>
          <w:iCs/>
          <w:sz w:val="20"/>
          <w:szCs w:val="20"/>
        </w:rPr>
      </w:pPr>
      <w:r>
        <w:rPr>
          <w:rFonts w:eastAsia="Times New Roman"/>
          <w:bCs/>
          <w:iCs/>
          <w:sz w:val="20"/>
          <w:szCs w:val="20"/>
        </w:rPr>
        <w:t>A UE drops (terminates) the processing of the first PDSCH.</w:t>
      </w:r>
    </w:p>
    <w:p>
      <w:pPr>
        <w:numPr>
          <w:ilvl w:val="2"/>
          <w:numId w:val="7"/>
        </w:numPr>
        <w:snapToGrid w:val="0"/>
        <w:spacing w:after="120" w:line="252" w:lineRule="auto"/>
        <w:jc w:val="both"/>
        <w:rPr>
          <w:rFonts w:eastAsia="Times New Roman"/>
          <w:bCs/>
          <w:iCs/>
          <w:sz w:val="20"/>
          <w:szCs w:val="20"/>
        </w:rPr>
      </w:pPr>
      <w:r>
        <w:rPr>
          <w:rFonts w:eastAsia="Times New Roman"/>
          <w:bCs/>
          <w:iCs/>
          <w:sz w:val="20"/>
          <w:szCs w:val="20"/>
        </w:rPr>
        <w:t>Alt1: The UE always drops the first PDSCH.</w:t>
      </w:r>
    </w:p>
    <w:p>
      <w:pPr>
        <w:numPr>
          <w:ilvl w:val="2"/>
          <w:numId w:val="7"/>
        </w:numPr>
        <w:snapToGrid w:val="0"/>
        <w:spacing w:after="120" w:line="252" w:lineRule="auto"/>
        <w:jc w:val="both"/>
        <w:rPr>
          <w:rFonts w:eastAsia="Times New Roman"/>
          <w:bCs/>
          <w:iCs/>
          <w:sz w:val="20"/>
          <w:szCs w:val="20"/>
        </w:rPr>
      </w:pPr>
      <w:r>
        <w:rPr>
          <w:rFonts w:eastAsia="Times New Roman"/>
          <w:bCs/>
          <w:iCs/>
          <w:sz w:val="20"/>
          <w:szCs w:val="20"/>
        </w:rPr>
        <w:t>Alt2: Some scheduling conditions should be defined. If not satisfied, the UE drops the processing of the first channel.</w:t>
      </w:r>
    </w:p>
    <w:p>
      <w:pPr>
        <w:numPr>
          <w:ilvl w:val="2"/>
          <w:numId w:val="7"/>
        </w:numPr>
        <w:snapToGrid w:val="0"/>
        <w:spacing w:after="120" w:line="252" w:lineRule="auto"/>
        <w:jc w:val="both"/>
        <w:rPr>
          <w:rFonts w:eastAsia="Times New Roman"/>
          <w:bCs/>
          <w:iCs/>
          <w:sz w:val="20"/>
          <w:szCs w:val="20"/>
        </w:rPr>
      </w:pPr>
      <w:r>
        <w:rPr>
          <w:rFonts w:eastAsia="Times New Roman"/>
          <w:bCs/>
          <w:iCs/>
          <w:sz w:val="20"/>
          <w:szCs w:val="20"/>
        </w:rPr>
        <w:t>FFS how to define the scheduling conditions, e.g., based on the number of RBs, TBS, number of layers, the gap between the first and second PDSCHs, the gap between the two PUCCHs carrying HARQ-ACK, etc.</w:t>
      </w:r>
    </w:p>
    <w:p>
      <w:pPr>
        <w:numPr>
          <w:ilvl w:val="0"/>
          <w:numId w:val="8"/>
        </w:numPr>
        <w:snapToGrid w:val="0"/>
        <w:spacing w:after="120" w:line="252" w:lineRule="auto"/>
        <w:jc w:val="both"/>
        <w:rPr>
          <w:rFonts w:eastAsia="Times New Roman"/>
          <w:bCs/>
          <w:iCs/>
          <w:sz w:val="20"/>
          <w:szCs w:val="20"/>
        </w:rPr>
      </w:pPr>
      <w:r>
        <w:rPr>
          <w:rFonts w:eastAsia="Times New Roman"/>
          <w:bCs/>
          <w:iCs/>
          <w:sz w:val="20"/>
          <w:szCs w:val="20"/>
        </w:rPr>
        <w:t xml:space="preserve">The UE behavior, e.g., decision on dropping the first channel and timing capability associated with the second channel, is determined, and is fixed, after decoding the PDCCH associated with the first and the second PDSCH. </w:t>
      </w:r>
    </w:p>
    <w:p>
      <w:pPr>
        <w:numPr>
          <w:ilvl w:val="0"/>
          <w:numId w:val="8"/>
        </w:numPr>
        <w:snapToGrid w:val="0"/>
        <w:spacing w:after="120" w:line="252" w:lineRule="auto"/>
        <w:jc w:val="both"/>
        <w:rPr>
          <w:rFonts w:eastAsia="Times New Roman"/>
          <w:bCs/>
          <w:iCs/>
          <w:sz w:val="20"/>
          <w:szCs w:val="20"/>
        </w:rPr>
      </w:pPr>
      <w:r>
        <w:rPr>
          <w:rFonts w:eastAsia="Times New Roman"/>
          <w:bCs/>
          <w:iCs/>
          <w:sz w:val="20"/>
          <w:szCs w:val="20"/>
        </w:rPr>
        <w:t>When the UE drops the processing of the first channel, increasing the minimum PDSCH processing procedure time (N1) of the second PDSCH by d symbols can be considered.</w:t>
      </w:r>
    </w:p>
    <w:p>
      <w:pPr>
        <w:numPr>
          <w:ilvl w:val="1"/>
          <w:numId w:val="8"/>
        </w:numPr>
        <w:snapToGrid w:val="0"/>
        <w:spacing w:after="120" w:line="252" w:lineRule="auto"/>
        <w:jc w:val="both"/>
        <w:rPr>
          <w:rFonts w:eastAsia="Times New Roman"/>
          <w:bCs/>
          <w:iCs/>
          <w:sz w:val="20"/>
          <w:szCs w:val="20"/>
        </w:rPr>
      </w:pPr>
      <w:r>
        <w:rPr>
          <w:rFonts w:eastAsia="Times New Roman"/>
          <w:bCs/>
          <w:iCs/>
          <w:sz w:val="20"/>
          <w:szCs w:val="20"/>
        </w:rPr>
        <w:t xml:space="preserve">FFS the value of d. </w:t>
      </w:r>
    </w:p>
    <w:p>
      <w:pPr>
        <w:numPr>
          <w:ilvl w:val="0"/>
          <w:numId w:val="9"/>
        </w:numPr>
        <w:snapToGrid w:val="0"/>
        <w:spacing w:after="120" w:line="252" w:lineRule="auto"/>
        <w:rPr>
          <w:rFonts w:eastAsia="Times New Roman"/>
          <w:bCs/>
          <w:iCs/>
          <w:sz w:val="20"/>
          <w:szCs w:val="20"/>
        </w:rPr>
      </w:pPr>
      <w:r>
        <w:rPr>
          <w:rFonts w:eastAsia="Times New Roman"/>
          <w:bCs/>
          <w:iCs/>
          <w:sz w:val="20"/>
          <w:szCs w:val="20"/>
        </w:rPr>
        <w:t>Dropping the processing of the first PDSCH can be done in one of the two ways:</w:t>
      </w:r>
    </w:p>
    <w:p>
      <w:pPr>
        <w:numPr>
          <w:ilvl w:val="1"/>
          <w:numId w:val="9"/>
        </w:numPr>
        <w:snapToGrid w:val="0"/>
        <w:spacing w:after="120" w:line="252" w:lineRule="auto"/>
        <w:rPr>
          <w:rFonts w:eastAsia="Times New Roman"/>
          <w:bCs/>
          <w:iCs/>
          <w:sz w:val="20"/>
          <w:szCs w:val="20"/>
        </w:rPr>
      </w:pPr>
      <w:r>
        <w:rPr>
          <w:rFonts w:eastAsia="Times New Roman"/>
          <w:bCs/>
          <w:iCs/>
          <w:sz w:val="20"/>
          <w:szCs w:val="20"/>
        </w:rPr>
        <w:t xml:space="preserve">Alt1: dropping the processing of the first PDSCH on the same serving cell </w:t>
      </w:r>
    </w:p>
    <w:p>
      <w:pPr>
        <w:numPr>
          <w:ilvl w:val="1"/>
          <w:numId w:val="9"/>
        </w:numPr>
        <w:snapToGrid w:val="0"/>
        <w:spacing w:after="120" w:line="252" w:lineRule="auto"/>
        <w:rPr>
          <w:rFonts w:eastAsia="Times New Roman"/>
          <w:bCs/>
          <w:iCs/>
          <w:sz w:val="20"/>
          <w:szCs w:val="20"/>
        </w:rPr>
      </w:pPr>
      <w:r>
        <w:rPr>
          <w:rFonts w:eastAsia="Times New Roman"/>
          <w:bCs/>
          <w:iCs/>
          <w:sz w:val="20"/>
          <w:szCs w:val="20"/>
        </w:rPr>
        <w:t>Alt2: dropping the processing of a PDSCH(s) on the same cell or a different serving cell.</w:t>
      </w:r>
    </w:p>
    <w:p>
      <w:pPr>
        <w:numPr>
          <w:ilvl w:val="0"/>
          <w:numId w:val="10"/>
        </w:numPr>
        <w:snapToGrid w:val="0"/>
        <w:spacing w:after="120" w:line="252" w:lineRule="auto"/>
        <w:jc w:val="both"/>
        <w:rPr>
          <w:rFonts w:eastAsia="Times New Roman"/>
          <w:sz w:val="20"/>
          <w:szCs w:val="20"/>
        </w:rPr>
      </w:pPr>
      <w:r>
        <w:rPr>
          <w:rFonts w:eastAsia="Times New Roman"/>
          <w:sz w:val="20"/>
          <w:szCs w:val="20"/>
        </w:rPr>
        <w:t xml:space="preserve">The UE </w:t>
      </w:r>
      <w:r>
        <w:rPr>
          <w:sz w:val="20"/>
          <w:szCs w:val="20"/>
        </w:rPr>
        <w:t>only expects a maximum of one OOO PDSCH-to-HARQ-ACK flow on the active BWP of a given serving cell when applicable</w:t>
      </w:r>
    </w:p>
    <w:p>
      <w:pPr>
        <w:pStyle w:val="106"/>
        <w:numPr>
          <w:ilvl w:val="0"/>
          <w:numId w:val="10"/>
        </w:numPr>
        <w:snapToGrid w:val="0"/>
        <w:spacing w:after="120" w:line="252" w:lineRule="auto"/>
        <w:ind w:leftChars="0"/>
        <w:contextualSpacing/>
        <w:jc w:val="both"/>
        <w:rPr>
          <w:rFonts w:ascii="Times New Roman" w:hAnsi="Times New Roman" w:eastAsia="Times New Roman"/>
          <w:bCs/>
          <w:iCs/>
          <w:sz w:val="20"/>
          <w:szCs w:val="20"/>
        </w:rPr>
      </w:pPr>
      <w:r>
        <w:rPr>
          <w:rFonts w:ascii="Times New Roman" w:hAnsi="Times New Roman" w:eastAsia="Times New Roman"/>
          <w:bCs/>
          <w:iCs/>
          <w:sz w:val="20"/>
          <w:szCs w:val="20"/>
        </w:rPr>
        <w:t>FFS whether or not, out-of-order operation is allowed across PDSCHs with PDSCH-to-HARQ gap compatible with PDSCH processing time (N1) for capability X.</w:t>
      </w:r>
    </w:p>
    <w:p>
      <w:pPr>
        <w:snapToGrid w:val="0"/>
        <w:spacing w:after="120"/>
        <w:rPr>
          <w:sz w:val="20"/>
          <w:szCs w:val="20"/>
        </w:rPr>
      </w:pPr>
      <w:r>
        <w:rPr>
          <w:sz w:val="20"/>
          <w:szCs w:val="20"/>
          <w:highlight w:val="green"/>
        </w:rPr>
        <w:t>Agreements</w:t>
      </w:r>
      <w:r>
        <w:rPr>
          <w:sz w:val="20"/>
          <w:szCs w:val="20"/>
        </w:rPr>
        <w:t>:</w:t>
      </w:r>
    </w:p>
    <w:p>
      <w:pPr>
        <w:snapToGrid w:val="0"/>
        <w:spacing w:after="120" w:line="252" w:lineRule="auto"/>
        <w:jc w:val="both"/>
        <w:rPr>
          <w:rFonts w:eastAsia="Times New Roman"/>
          <w:bCs/>
          <w:iCs/>
          <w:sz w:val="20"/>
          <w:szCs w:val="20"/>
        </w:rPr>
      </w:pPr>
      <w:r>
        <w:rPr>
          <w:rFonts w:eastAsia="Times New Roman"/>
          <w:bCs/>
          <w:iCs/>
          <w:sz w:val="20"/>
          <w:szCs w:val="20"/>
        </w:rPr>
        <w:t>For a Rel. 16 UE, on the active BWP of a given serving cell, the UE can be scheduled with a second PUSCH associated with HARQ process x starting earlier than the ending symbol of the first PUSCH associated with HARQ process y (x != y) with a PDCCH that does not end earlier than the ending symbol of first scheduling PDCCH.  Specify based on the following solutions:</w:t>
      </w:r>
    </w:p>
    <w:p>
      <w:pPr>
        <w:pStyle w:val="106"/>
        <w:numPr>
          <w:ilvl w:val="0"/>
          <w:numId w:val="11"/>
        </w:numPr>
        <w:snapToGrid w:val="0"/>
        <w:spacing w:after="120" w:line="252" w:lineRule="auto"/>
        <w:ind w:left="990" w:leftChars="0"/>
        <w:jc w:val="both"/>
        <w:rPr>
          <w:rFonts w:ascii="Times New Roman" w:hAnsi="Times New Roman" w:eastAsia="Times New Roman"/>
          <w:bCs/>
          <w:iCs/>
          <w:sz w:val="20"/>
          <w:szCs w:val="20"/>
        </w:rPr>
      </w:pPr>
      <w:r>
        <w:rPr>
          <w:rFonts w:ascii="Times New Roman" w:hAnsi="Times New Roman" w:eastAsia="Times New Roman"/>
          <w:bCs/>
          <w:iCs/>
          <w:sz w:val="20"/>
          <w:szCs w:val="20"/>
        </w:rPr>
        <w:t>Solution 1: The UE always processes the second scheduled PUSCH. The UE may or may not drop the processing of the first schedeuled PUSCH.</w:t>
      </w:r>
    </w:p>
    <w:p>
      <w:pPr>
        <w:numPr>
          <w:ilvl w:val="0"/>
          <w:numId w:val="12"/>
        </w:numPr>
        <w:snapToGrid w:val="0"/>
        <w:spacing w:after="120" w:line="252" w:lineRule="auto"/>
        <w:jc w:val="both"/>
        <w:rPr>
          <w:rFonts w:eastAsia="Times New Roman"/>
          <w:bCs/>
          <w:iCs/>
          <w:sz w:val="20"/>
          <w:szCs w:val="20"/>
        </w:rPr>
      </w:pPr>
      <w:r>
        <w:rPr>
          <w:rFonts w:eastAsia="Times New Roman"/>
          <w:bCs/>
          <w:iCs/>
          <w:sz w:val="20"/>
          <w:szCs w:val="20"/>
        </w:rPr>
        <w:t>If the first scheduled and second scheduled PUSCHs are not colliding in the time domain:</w:t>
      </w:r>
    </w:p>
    <w:p>
      <w:pPr>
        <w:numPr>
          <w:ilvl w:val="3"/>
          <w:numId w:val="12"/>
        </w:numPr>
        <w:tabs>
          <w:tab w:val="clear" w:pos="2160"/>
        </w:tabs>
        <w:snapToGrid w:val="0"/>
        <w:spacing w:after="120" w:line="252" w:lineRule="auto"/>
        <w:jc w:val="both"/>
        <w:rPr>
          <w:rFonts w:eastAsia="Times New Roman"/>
          <w:bCs/>
          <w:iCs/>
          <w:sz w:val="20"/>
          <w:szCs w:val="20"/>
        </w:rPr>
      </w:pPr>
      <w:r>
        <w:rPr>
          <w:rFonts w:eastAsia="Times New Roman"/>
          <w:bCs/>
          <w:iCs/>
          <w:sz w:val="20"/>
          <w:szCs w:val="20"/>
        </w:rPr>
        <w:t>Solution 2: The UE processes both the first scheduled and second scheduled PUSCHs as a UE capability with no condition.</w:t>
      </w:r>
    </w:p>
    <w:p>
      <w:pPr>
        <w:numPr>
          <w:ilvl w:val="3"/>
          <w:numId w:val="12"/>
        </w:numPr>
        <w:snapToGrid w:val="0"/>
        <w:spacing w:after="120" w:line="252" w:lineRule="auto"/>
        <w:jc w:val="both"/>
        <w:rPr>
          <w:rFonts w:eastAsia="Times New Roman"/>
          <w:bCs/>
          <w:iCs/>
          <w:sz w:val="20"/>
          <w:szCs w:val="20"/>
        </w:rPr>
      </w:pPr>
      <w:r>
        <w:rPr>
          <w:rFonts w:eastAsia="Times New Roman"/>
          <w:bCs/>
          <w:iCs/>
          <w:sz w:val="20"/>
          <w:szCs w:val="20"/>
        </w:rPr>
        <w:t>Solution 3: The UE processes both the first scheduled and second scheduled PUSCHs under some conditions. The conditions are reported as a UE capability.</w:t>
      </w:r>
    </w:p>
    <w:p>
      <w:pPr>
        <w:numPr>
          <w:ilvl w:val="4"/>
          <w:numId w:val="12"/>
        </w:numPr>
        <w:snapToGrid w:val="0"/>
        <w:spacing w:after="120" w:line="252" w:lineRule="auto"/>
        <w:jc w:val="both"/>
        <w:rPr>
          <w:rFonts w:eastAsia="Times New Roman"/>
          <w:bCs/>
          <w:iCs/>
          <w:sz w:val="20"/>
          <w:szCs w:val="20"/>
        </w:rPr>
      </w:pPr>
      <w:r>
        <w:rPr>
          <w:rFonts w:eastAsia="Times New Roman"/>
          <w:bCs/>
          <w:iCs/>
          <w:sz w:val="20"/>
          <w:szCs w:val="20"/>
        </w:rPr>
        <w:t>FFS: The details of the UE capability.</w:t>
      </w:r>
    </w:p>
    <w:p>
      <w:pPr>
        <w:numPr>
          <w:ilvl w:val="3"/>
          <w:numId w:val="12"/>
        </w:numPr>
        <w:snapToGrid w:val="0"/>
        <w:spacing w:after="120" w:line="252" w:lineRule="auto"/>
        <w:jc w:val="both"/>
        <w:rPr>
          <w:rFonts w:eastAsia="Times New Roman"/>
          <w:bCs/>
          <w:iCs/>
          <w:sz w:val="20"/>
          <w:szCs w:val="20"/>
        </w:rPr>
      </w:pPr>
      <w:r>
        <w:rPr>
          <w:rFonts w:eastAsia="Times New Roman"/>
          <w:bCs/>
          <w:iCs/>
          <w:sz w:val="20"/>
          <w:szCs w:val="20"/>
        </w:rPr>
        <w:t xml:space="preserve">Solution 4: </w:t>
      </w:r>
    </w:p>
    <w:p>
      <w:pPr>
        <w:numPr>
          <w:ilvl w:val="4"/>
          <w:numId w:val="12"/>
        </w:numPr>
        <w:snapToGrid w:val="0"/>
        <w:spacing w:after="120" w:line="252" w:lineRule="auto"/>
        <w:jc w:val="both"/>
        <w:rPr>
          <w:rFonts w:eastAsia="Times New Roman"/>
          <w:bCs/>
          <w:iCs/>
          <w:sz w:val="20"/>
          <w:szCs w:val="20"/>
        </w:rPr>
      </w:pPr>
      <w:r>
        <w:rPr>
          <w:rFonts w:eastAsia="Times New Roman"/>
          <w:bCs/>
          <w:iCs/>
          <w:sz w:val="20"/>
          <w:szCs w:val="20"/>
        </w:rPr>
        <w:t>A UE drops (terminates) the processing of the first scheduled PUSCH.</w:t>
      </w:r>
    </w:p>
    <w:p>
      <w:pPr>
        <w:numPr>
          <w:ilvl w:val="5"/>
          <w:numId w:val="12"/>
        </w:numPr>
        <w:snapToGrid w:val="0"/>
        <w:spacing w:after="120" w:line="252" w:lineRule="auto"/>
        <w:jc w:val="both"/>
        <w:rPr>
          <w:rFonts w:eastAsia="Times New Roman"/>
          <w:bCs/>
          <w:iCs/>
          <w:sz w:val="20"/>
          <w:szCs w:val="20"/>
        </w:rPr>
      </w:pPr>
      <w:r>
        <w:rPr>
          <w:rFonts w:eastAsia="Times New Roman"/>
          <w:bCs/>
          <w:iCs/>
          <w:sz w:val="20"/>
          <w:szCs w:val="20"/>
        </w:rPr>
        <w:t>Alt1: The UE always drops the first scheduled PUSCH.</w:t>
      </w:r>
    </w:p>
    <w:p>
      <w:pPr>
        <w:numPr>
          <w:ilvl w:val="5"/>
          <w:numId w:val="12"/>
        </w:numPr>
        <w:snapToGrid w:val="0"/>
        <w:spacing w:after="120" w:line="252" w:lineRule="auto"/>
        <w:jc w:val="both"/>
        <w:rPr>
          <w:rFonts w:eastAsia="Times New Roman"/>
          <w:bCs/>
          <w:iCs/>
          <w:sz w:val="20"/>
          <w:szCs w:val="20"/>
        </w:rPr>
      </w:pPr>
      <w:r>
        <w:rPr>
          <w:rFonts w:eastAsia="Times New Roman"/>
          <w:bCs/>
          <w:iCs/>
          <w:sz w:val="20"/>
          <w:szCs w:val="20"/>
        </w:rPr>
        <w:t>Alt2: Some scheduling conditions should be defined. If not satisfied, the UE drops the processing of the first scheduled PUSCH.</w:t>
      </w:r>
    </w:p>
    <w:p>
      <w:pPr>
        <w:numPr>
          <w:ilvl w:val="6"/>
          <w:numId w:val="12"/>
        </w:numPr>
        <w:snapToGrid w:val="0"/>
        <w:spacing w:after="120" w:line="252" w:lineRule="auto"/>
        <w:jc w:val="both"/>
        <w:rPr>
          <w:rFonts w:eastAsia="Times New Roman"/>
          <w:bCs/>
          <w:iCs/>
          <w:sz w:val="20"/>
          <w:szCs w:val="20"/>
        </w:rPr>
      </w:pPr>
      <w:r>
        <w:rPr>
          <w:rFonts w:eastAsia="Times New Roman"/>
          <w:bCs/>
          <w:iCs/>
          <w:sz w:val="20"/>
          <w:szCs w:val="20"/>
        </w:rPr>
        <w:t>FFS how to define the scheduling conditions, e.g., based on the number of RBs, TBS, number of layers, the gap between the first and the second PUSCHs, etc.</w:t>
      </w:r>
    </w:p>
    <w:p>
      <w:pPr>
        <w:numPr>
          <w:ilvl w:val="2"/>
          <w:numId w:val="12"/>
        </w:numPr>
        <w:snapToGrid w:val="0"/>
        <w:spacing w:after="120" w:line="252" w:lineRule="auto"/>
        <w:jc w:val="both"/>
        <w:rPr>
          <w:rFonts w:eastAsia="Times New Roman"/>
          <w:bCs/>
          <w:iCs/>
          <w:sz w:val="20"/>
          <w:szCs w:val="20"/>
        </w:rPr>
      </w:pPr>
      <w:r>
        <w:rPr>
          <w:rFonts w:eastAsia="Times New Roman"/>
          <w:bCs/>
          <w:iCs/>
          <w:sz w:val="20"/>
          <w:szCs w:val="20"/>
        </w:rPr>
        <w:t xml:space="preserve">The UE behavior, e.g., decision on dropping the first scheduled PUSCH and timing capability associated with the second scheduled PUSCH, is determined, and is fixed, after decoding the PDCCH associated with first and the second scheduled PUSCHs. </w:t>
      </w:r>
    </w:p>
    <w:p>
      <w:pPr>
        <w:numPr>
          <w:ilvl w:val="2"/>
          <w:numId w:val="12"/>
        </w:numPr>
        <w:snapToGrid w:val="0"/>
        <w:spacing w:after="120" w:line="252" w:lineRule="auto"/>
        <w:jc w:val="both"/>
        <w:rPr>
          <w:rFonts w:eastAsia="Times New Roman"/>
          <w:bCs/>
          <w:iCs/>
          <w:sz w:val="20"/>
          <w:szCs w:val="20"/>
        </w:rPr>
      </w:pPr>
      <w:r>
        <w:rPr>
          <w:rFonts w:eastAsia="Times New Roman"/>
          <w:bCs/>
          <w:iCs/>
          <w:sz w:val="20"/>
          <w:szCs w:val="20"/>
        </w:rPr>
        <w:t>When the UE drops the processing of the first scheduled PUSCH, increasing the minimum PUSCH preparation procedure time (N2) of the second PUSCH by d symbols can be  considered.</w:t>
      </w:r>
    </w:p>
    <w:p>
      <w:pPr>
        <w:numPr>
          <w:ilvl w:val="4"/>
          <w:numId w:val="12"/>
        </w:numPr>
        <w:snapToGrid w:val="0"/>
        <w:spacing w:after="120" w:line="252" w:lineRule="auto"/>
        <w:jc w:val="both"/>
        <w:rPr>
          <w:rFonts w:eastAsia="Times New Roman"/>
          <w:bCs/>
          <w:iCs/>
          <w:sz w:val="20"/>
          <w:szCs w:val="20"/>
        </w:rPr>
      </w:pPr>
      <w:r>
        <w:rPr>
          <w:rFonts w:eastAsia="Times New Roman"/>
          <w:bCs/>
          <w:iCs/>
          <w:sz w:val="20"/>
          <w:szCs w:val="20"/>
        </w:rPr>
        <w:t xml:space="preserve">FFS the value of d. </w:t>
      </w:r>
    </w:p>
    <w:p>
      <w:pPr>
        <w:numPr>
          <w:ilvl w:val="2"/>
          <w:numId w:val="12"/>
        </w:numPr>
        <w:snapToGrid w:val="0"/>
        <w:spacing w:after="120" w:line="252" w:lineRule="auto"/>
        <w:rPr>
          <w:rFonts w:eastAsia="Times New Roman"/>
          <w:bCs/>
          <w:iCs/>
          <w:sz w:val="20"/>
          <w:szCs w:val="20"/>
        </w:rPr>
      </w:pPr>
      <w:r>
        <w:rPr>
          <w:rFonts w:eastAsia="Times New Roman"/>
          <w:bCs/>
          <w:iCs/>
          <w:sz w:val="20"/>
          <w:szCs w:val="20"/>
        </w:rPr>
        <w:t>Dropping the processing of the first scheduled PUSCH can be done in one of the two ways:</w:t>
      </w:r>
    </w:p>
    <w:p>
      <w:pPr>
        <w:numPr>
          <w:ilvl w:val="4"/>
          <w:numId w:val="12"/>
        </w:numPr>
        <w:snapToGrid w:val="0"/>
        <w:spacing w:after="120" w:line="252" w:lineRule="auto"/>
        <w:rPr>
          <w:rFonts w:eastAsia="Times New Roman"/>
          <w:bCs/>
          <w:iCs/>
          <w:sz w:val="20"/>
          <w:szCs w:val="20"/>
        </w:rPr>
      </w:pPr>
      <w:r>
        <w:rPr>
          <w:rFonts w:eastAsia="Times New Roman"/>
          <w:bCs/>
          <w:iCs/>
          <w:sz w:val="20"/>
          <w:szCs w:val="20"/>
        </w:rPr>
        <w:t xml:space="preserve">Alt1: dropping the processing of the first scheduled PUSCH on the same serving cell </w:t>
      </w:r>
    </w:p>
    <w:p>
      <w:pPr>
        <w:numPr>
          <w:ilvl w:val="4"/>
          <w:numId w:val="12"/>
        </w:numPr>
        <w:snapToGrid w:val="0"/>
        <w:spacing w:after="120" w:line="252" w:lineRule="auto"/>
        <w:rPr>
          <w:rFonts w:eastAsia="Times New Roman"/>
          <w:bCs/>
          <w:iCs/>
          <w:sz w:val="20"/>
          <w:szCs w:val="20"/>
        </w:rPr>
      </w:pPr>
      <w:r>
        <w:rPr>
          <w:rFonts w:eastAsia="Times New Roman"/>
          <w:bCs/>
          <w:iCs/>
          <w:sz w:val="20"/>
          <w:szCs w:val="20"/>
        </w:rPr>
        <w:t>Alt2: dropping the processing of a PUSCH(s) on the same cell or different serving cell.</w:t>
      </w:r>
    </w:p>
    <w:p>
      <w:pPr>
        <w:numPr>
          <w:ilvl w:val="0"/>
          <w:numId w:val="12"/>
        </w:numPr>
        <w:snapToGrid w:val="0"/>
        <w:spacing w:after="120" w:line="252" w:lineRule="auto"/>
        <w:jc w:val="both"/>
        <w:rPr>
          <w:rFonts w:eastAsia="Times New Roman"/>
          <w:sz w:val="20"/>
          <w:szCs w:val="20"/>
        </w:rPr>
      </w:pPr>
      <w:r>
        <w:rPr>
          <w:rFonts w:eastAsia="Times New Roman"/>
          <w:sz w:val="20"/>
          <w:szCs w:val="20"/>
        </w:rPr>
        <w:t xml:space="preserve">The UE </w:t>
      </w:r>
      <w:r>
        <w:rPr>
          <w:sz w:val="20"/>
          <w:szCs w:val="20"/>
        </w:rPr>
        <w:t>only expects a maximum of one OOO PDCCH-to-PUSCH flow on the active BWP of a given serving cell when applicable.</w:t>
      </w:r>
    </w:p>
    <w:p>
      <w:pPr>
        <w:numPr>
          <w:ilvl w:val="0"/>
          <w:numId w:val="12"/>
        </w:numPr>
        <w:snapToGrid w:val="0"/>
        <w:spacing w:after="120" w:line="252" w:lineRule="auto"/>
        <w:jc w:val="both"/>
        <w:rPr>
          <w:rFonts w:eastAsia="Times New Roman"/>
          <w:sz w:val="20"/>
          <w:szCs w:val="20"/>
        </w:rPr>
      </w:pPr>
      <w:r>
        <w:rPr>
          <w:rFonts w:eastAsia="Times New Roman"/>
          <w:bCs/>
          <w:iCs/>
          <w:sz w:val="20"/>
          <w:szCs w:val="20"/>
        </w:rPr>
        <w:t>FFS whether or not out-of-order operation is allowed across PUSCHs with PDCCH-to-PUSCH gap compatible with PUSCH processing time (N2) for capability X.</w:t>
      </w:r>
    </w:p>
    <w:p>
      <w:pPr>
        <w:numPr>
          <w:ilvl w:val="0"/>
          <w:numId w:val="12"/>
        </w:numPr>
        <w:snapToGrid w:val="0"/>
        <w:spacing w:after="120" w:line="252" w:lineRule="auto"/>
        <w:jc w:val="both"/>
        <w:rPr>
          <w:rFonts w:eastAsia="Times New Roman"/>
          <w:sz w:val="20"/>
          <w:szCs w:val="20"/>
        </w:rPr>
      </w:pPr>
      <w:r>
        <w:rPr>
          <w:rFonts w:eastAsia="Times New Roman"/>
          <w:bCs/>
          <w:iCs/>
          <w:sz w:val="20"/>
          <w:szCs w:val="20"/>
        </w:rPr>
        <w:t>If the first scheduled PUSCH and the second scheduled PUSCH are colliding in the time domain, the UE drops the processing and the transmission of the first scheduled PUSCH.</w:t>
      </w:r>
    </w:p>
    <w:p>
      <w:pPr>
        <w:numPr>
          <w:ilvl w:val="1"/>
          <w:numId w:val="12"/>
        </w:numPr>
        <w:snapToGrid w:val="0"/>
        <w:spacing w:after="120" w:line="252" w:lineRule="auto"/>
        <w:jc w:val="both"/>
        <w:rPr>
          <w:rFonts w:eastAsia="Times New Roman"/>
          <w:sz w:val="20"/>
          <w:szCs w:val="20"/>
        </w:rPr>
      </w:pPr>
      <w:r>
        <w:rPr>
          <w:rFonts w:eastAsia="Times New Roman"/>
          <w:bCs/>
          <w:iCs/>
          <w:sz w:val="20"/>
          <w:szCs w:val="20"/>
        </w:rPr>
        <w:t>For dropping, the scheduling limitations do not apply. The UE always drops the first scheduled PUSCH.</w:t>
      </w:r>
    </w:p>
    <w:p>
      <w:pPr>
        <w:numPr>
          <w:ilvl w:val="1"/>
          <w:numId w:val="12"/>
        </w:numPr>
        <w:snapToGrid w:val="0"/>
        <w:spacing w:after="120" w:line="252" w:lineRule="auto"/>
        <w:jc w:val="both"/>
        <w:rPr>
          <w:rFonts w:eastAsia="Times New Roman"/>
          <w:sz w:val="20"/>
          <w:szCs w:val="20"/>
        </w:rPr>
      </w:pPr>
      <w:r>
        <w:rPr>
          <w:rFonts w:eastAsia="Times New Roman"/>
          <w:bCs/>
          <w:iCs/>
          <w:sz w:val="20"/>
          <w:szCs w:val="20"/>
        </w:rPr>
        <w:t xml:space="preserve">Other details of dropping are as those of the solution 4. </w:t>
      </w:r>
    </w:p>
    <w:p>
      <w:pPr>
        <w:spacing w:after="120"/>
        <w:jc w:val="both"/>
        <w:rPr>
          <w:lang w:val="en-US" w:eastAsia="ja-JP"/>
        </w:rPr>
      </w:pPr>
    </w:p>
    <w:sectPr>
      <w:footerReference r:id="rId3" w:type="default"/>
      <w:pgSz w:w="12240" w:h="15840"/>
      <w:pgMar w:top="1440" w:right="1467" w:bottom="1440" w:left="1418" w:header="708" w:footer="708"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roman"/>
    <w:pitch w:val="default"/>
    <w:sig w:usb0="00000000" w:usb1="00000000" w:usb2="00000012" w:usb3="00000000" w:csb0="4002009F" w:csb1="DFD70000"/>
  </w:font>
  <w:font w:name="Tahoma">
    <w:panose1 w:val="020B0604030504040204"/>
    <w:charset w:val="00"/>
    <w:family w:val="swiss"/>
    <w:pitch w:val="default"/>
    <w:sig w:usb0="E1002EFF" w:usb1="C000605B" w:usb2="00000029" w:usb3="00000000" w:csb0="200101FF" w:csb1="20280000"/>
  </w:font>
  <w:font w:name="Batang">
    <w:altName w:val="Malgun Gothic"/>
    <w:panose1 w:val="02030600000101010101"/>
    <w:charset w:val="81"/>
    <w:family w:val="auto"/>
    <w:pitch w:val="default"/>
    <w:sig w:usb0="00000000" w:usb1="00000000" w:usb2="00000030" w:usb3="00000000" w:csb0="4008009F" w:csb1="DFD70000"/>
  </w:font>
  <w:font w:name="Gulim">
    <w:altName w:val="Malgun Gothic"/>
    <w:panose1 w:val="020B0600000101010101"/>
    <w:charset w:val="81"/>
    <w:family w:val="roman"/>
    <w:pitch w:val="default"/>
    <w:sig w:usb0="00000000" w:usb1="00000000" w:usb2="00000030" w:usb3="00000000" w:csb0="4008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jc w:val="center"/>
    </w:pPr>
    <w:r>
      <w:fldChar w:fldCharType="begin"/>
    </w:r>
    <w:r>
      <w:instrText xml:space="preserve"> PAGE   \* MERGEFORMAT </w:instrText>
    </w:r>
    <w:r>
      <w:fldChar w:fldCharType="separate"/>
    </w:r>
    <w:r>
      <w:rPr>
        <w:lang w:val="en-US" w:eastAsia="zh-CN"/>
      </w:rPr>
      <w:t>5</w:t>
    </w:r>
    <w:r>
      <w:rPr>
        <w:lang w:val="en-US" w:eastAsia="zh-CN"/>
      </w:rPr>
      <w:fldChar w:fldCharType="end"/>
    </w:r>
  </w:p>
  <w:p>
    <w:pPr>
      <w:pStyle w:val="22"/>
    </w:pPr>
  </w:p>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BA6B27E"/>
    <w:multiLevelType w:val="singleLevel"/>
    <w:tmpl w:val="9BA6B27E"/>
    <w:lvl w:ilvl="0" w:tentative="0">
      <w:start w:val="1"/>
      <w:numFmt w:val="bullet"/>
      <w:lvlText w:val=""/>
      <w:lvlJc w:val="left"/>
      <w:pPr>
        <w:ind w:left="420" w:hanging="420"/>
      </w:pPr>
      <w:rPr>
        <w:rFonts w:hint="default" w:ascii="Wingdings" w:hAnsi="Wingdings"/>
      </w:rPr>
    </w:lvl>
  </w:abstractNum>
  <w:abstractNum w:abstractNumId="1">
    <w:nsid w:val="1F93CFDC"/>
    <w:multiLevelType w:val="multilevel"/>
    <w:tmpl w:val="1F93CFDC"/>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2">
    <w:nsid w:val="23645A76"/>
    <w:multiLevelType w:val="multilevel"/>
    <w:tmpl w:val="23645A76"/>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280B61BD"/>
    <w:multiLevelType w:val="multilevel"/>
    <w:tmpl w:val="280B61BD"/>
    <w:lvl w:ilvl="0" w:tentative="0">
      <w:start w:val="1"/>
      <w:numFmt w:val="bullet"/>
      <w:lvlText w:val=""/>
      <w:lvlJc w:val="left"/>
      <w:pPr>
        <w:tabs>
          <w:tab w:val="left" w:pos="990"/>
        </w:tabs>
        <w:ind w:left="990" w:hanging="360"/>
      </w:pPr>
      <w:rPr>
        <w:rFonts w:hint="default" w:ascii="Symbol" w:hAnsi="Symbol"/>
      </w:rPr>
    </w:lvl>
    <w:lvl w:ilvl="1" w:tentative="0">
      <w:start w:val="1"/>
      <w:numFmt w:val="bullet"/>
      <w:lvlText w:val=""/>
      <w:lvlJc w:val="left"/>
      <w:pPr>
        <w:tabs>
          <w:tab w:val="left" w:pos="1440"/>
        </w:tabs>
        <w:ind w:left="1440" w:hanging="360"/>
      </w:pPr>
      <w:rPr>
        <w:rFonts w:hint="default" w:ascii="Symbol" w:hAnsi="Symbol"/>
      </w:rPr>
    </w:lvl>
    <w:lvl w:ilvl="2" w:tentative="0">
      <w:start w:val="1"/>
      <w:numFmt w:val="bullet"/>
      <w:lvlText w:val=""/>
      <w:lvlJc w:val="left"/>
      <w:pPr>
        <w:tabs>
          <w:tab w:val="left" w:pos="2160"/>
        </w:tabs>
        <w:ind w:left="2160" w:hanging="360"/>
      </w:pPr>
      <w:rPr>
        <w:rFonts w:hint="default" w:ascii="Symbol" w:hAnsi="Symbol"/>
      </w:rPr>
    </w:lvl>
    <w:lvl w:ilvl="3" w:tentative="0">
      <w:start w:val="1"/>
      <w:numFmt w:val="bullet"/>
      <w:lvlText w:val=""/>
      <w:lvlJc w:val="left"/>
      <w:pPr>
        <w:tabs>
          <w:tab w:val="left" w:pos="2160"/>
        </w:tabs>
        <w:ind w:left="2160" w:hanging="360"/>
      </w:pPr>
      <w:rPr>
        <w:rFonts w:hint="default" w:ascii="Symbol" w:hAnsi="Symbol"/>
      </w:rPr>
    </w:lvl>
    <w:lvl w:ilvl="4" w:tentative="0">
      <w:start w:val="1"/>
      <w:numFmt w:val="bullet"/>
      <w:lvlText w:val=""/>
      <w:lvlJc w:val="left"/>
      <w:pPr>
        <w:tabs>
          <w:tab w:val="left" w:pos="3600"/>
        </w:tabs>
        <w:ind w:left="3600" w:hanging="360"/>
      </w:pPr>
      <w:rPr>
        <w:rFonts w:hint="default" w:ascii="Symbol" w:hAnsi="Symbol"/>
      </w:rPr>
    </w:lvl>
    <w:lvl w:ilvl="5" w:tentative="0">
      <w:start w:val="1"/>
      <w:numFmt w:val="bullet"/>
      <w:lvlText w:val=""/>
      <w:lvlJc w:val="left"/>
      <w:pPr>
        <w:tabs>
          <w:tab w:val="left" w:pos="4320"/>
        </w:tabs>
        <w:ind w:left="4320" w:hanging="360"/>
      </w:pPr>
      <w:rPr>
        <w:rFonts w:hint="default" w:ascii="Symbol" w:hAnsi="Symbol"/>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
      <w:lvlJc w:val="left"/>
      <w:pPr>
        <w:tabs>
          <w:tab w:val="left" w:pos="5760"/>
        </w:tabs>
        <w:ind w:left="5760" w:hanging="360"/>
      </w:pPr>
      <w:rPr>
        <w:rFonts w:hint="default" w:ascii="Symbol" w:hAnsi="Symbol"/>
      </w:rPr>
    </w:lvl>
    <w:lvl w:ilvl="8" w:tentative="0">
      <w:start w:val="1"/>
      <w:numFmt w:val="bullet"/>
      <w:lvlText w:val=""/>
      <w:lvlJc w:val="left"/>
      <w:pPr>
        <w:tabs>
          <w:tab w:val="left" w:pos="6480"/>
        </w:tabs>
        <w:ind w:left="6480" w:hanging="360"/>
      </w:pPr>
      <w:rPr>
        <w:rFonts w:hint="default" w:ascii="Symbol" w:hAnsi="Symbol"/>
      </w:rPr>
    </w:lvl>
  </w:abstractNum>
  <w:abstractNum w:abstractNumId="4">
    <w:nsid w:val="29637A17"/>
    <w:multiLevelType w:val="multilevel"/>
    <w:tmpl w:val="29637A17"/>
    <w:lvl w:ilvl="0" w:tentative="0">
      <w:start w:val="1"/>
      <w:numFmt w:val="decimal"/>
      <w:lvlText w:val="%1."/>
      <w:lvlJc w:val="left"/>
      <w:pPr>
        <w:ind w:left="720" w:hanging="360"/>
      </w:pPr>
      <w:rPr>
        <w:rFonts w:hint="default"/>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2CFF77C7"/>
    <w:multiLevelType w:val="multilevel"/>
    <w:tmpl w:val="2CFF77C7"/>
    <w:lvl w:ilvl="0" w:tentative="0">
      <w:start w:val="1"/>
      <w:numFmt w:val="bullet"/>
      <w:lvlText w:val=""/>
      <w:lvlJc w:val="left"/>
      <w:pPr>
        <w:ind w:left="1080" w:hanging="360"/>
      </w:pPr>
      <w:rPr>
        <w:rFonts w:hint="default" w:ascii="Symbol" w:hAnsi="Symbol"/>
      </w:rPr>
    </w:lvl>
    <w:lvl w:ilvl="1" w:tentative="0">
      <w:start w:val="1"/>
      <w:numFmt w:val="bullet"/>
      <w:lvlText w:val="o"/>
      <w:lvlJc w:val="left"/>
      <w:pPr>
        <w:ind w:left="1530" w:hanging="360"/>
      </w:pPr>
      <w:rPr>
        <w:rFonts w:hint="default" w:ascii="Courier New" w:hAnsi="Courier New" w:cs="Courier New"/>
      </w:rPr>
    </w:lvl>
    <w:lvl w:ilvl="2" w:tentative="0">
      <w:start w:val="1"/>
      <w:numFmt w:val="bullet"/>
      <w:lvlText w:val=""/>
      <w:lvlJc w:val="left"/>
      <w:pPr>
        <w:ind w:left="2250" w:hanging="360"/>
      </w:pPr>
      <w:rPr>
        <w:rFonts w:hint="default" w:ascii="Wingdings" w:hAnsi="Wingdings"/>
      </w:rPr>
    </w:lvl>
    <w:lvl w:ilvl="3" w:tentative="0">
      <w:start w:val="1"/>
      <w:numFmt w:val="bullet"/>
      <w:lvlText w:val=""/>
      <w:lvlJc w:val="left"/>
      <w:pPr>
        <w:ind w:left="2970" w:hanging="360"/>
      </w:pPr>
      <w:rPr>
        <w:rFonts w:hint="default" w:ascii="Symbol" w:hAnsi="Symbol"/>
      </w:rPr>
    </w:lvl>
    <w:lvl w:ilvl="4" w:tentative="0">
      <w:start w:val="1"/>
      <w:numFmt w:val="bullet"/>
      <w:lvlText w:val="o"/>
      <w:lvlJc w:val="left"/>
      <w:pPr>
        <w:ind w:left="3690" w:hanging="360"/>
      </w:pPr>
      <w:rPr>
        <w:rFonts w:hint="default" w:ascii="Courier New" w:hAnsi="Courier New" w:cs="Courier New"/>
      </w:rPr>
    </w:lvl>
    <w:lvl w:ilvl="5" w:tentative="0">
      <w:start w:val="1"/>
      <w:numFmt w:val="bullet"/>
      <w:lvlText w:val=""/>
      <w:lvlJc w:val="left"/>
      <w:pPr>
        <w:ind w:left="4410" w:hanging="360"/>
      </w:pPr>
      <w:rPr>
        <w:rFonts w:hint="default" w:ascii="Wingdings" w:hAnsi="Wingdings"/>
      </w:rPr>
    </w:lvl>
    <w:lvl w:ilvl="6" w:tentative="0">
      <w:start w:val="1"/>
      <w:numFmt w:val="bullet"/>
      <w:lvlText w:val=""/>
      <w:lvlJc w:val="left"/>
      <w:pPr>
        <w:ind w:left="5130" w:hanging="360"/>
      </w:pPr>
      <w:rPr>
        <w:rFonts w:hint="default" w:ascii="Symbol" w:hAnsi="Symbol"/>
      </w:rPr>
    </w:lvl>
    <w:lvl w:ilvl="7" w:tentative="0">
      <w:start w:val="1"/>
      <w:numFmt w:val="bullet"/>
      <w:lvlText w:val="o"/>
      <w:lvlJc w:val="left"/>
      <w:pPr>
        <w:ind w:left="5850" w:hanging="360"/>
      </w:pPr>
      <w:rPr>
        <w:rFonts w:hint="default" w:ascii="Courier New" w:hAnsi="Courier New" w:cs="Courier New"/>
      </w:rPr>
    </w:lvl>
    <w:lvl w:ilvl="8" w:tentative="0">
      <w:start w:val="1"/>
      <w:numFmt w:val="bullet"/>
      <w:lvlText w:val=""/>
      <w:lvlJc w:val="left"/>
      <w:pPr>
        <w:ind w:left="6570" w:hanging="360"/>
      </w:pPr>
      <w:rPr>
        <w:rFonts w:hint="default" w:ascii="Wingdings" w:hAnsi="Wingdings"/>
      </w:rPr>
    </w:lvl>
  </w:abstractNum>
  <w:abstractNum w:abstractNumId="6">
    <w:nsid w:val="352916ED"/>
    <w:multiLevelType w:val="multilevel"/>
    <w:tmpl w:val="352916E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383B645E"/>
    <w:multiLevelType w:val="multilevel"/>
    <w:tmpl w:val="383B645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419A6B11"/>
    <w:multiLevelType w:val="multilevel"/>
    <w:tmpl w:val="419A6B11"/>
    <w:lvl w:ilvl="0" w:tentative="0">
      <w:start w:val="1"/>
      <w:numFmt w:val="bullet"/>
      <w:lvlText w:val="o"/>
      <w:lvlJc w:val="left"/>
      <w:pPr>
        <w:ind w:left="1440" w:hanging="360"/>
      </w:pPr>
      <w:rPr>
        <w:rFonts w:hint="default" w:ascii="Courier New" w:hAnsi="Courier New" w:cs="Courier New"/>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9">
    <w:nsid w:val="5A0D829C"/>
    <w:multiLevelType w:val="multilevel"/>
    <w:tmpl w:val="5A0D829C"/>
    <w:lvl w:ilvl="0" w:tentative="0">
      <w:start w:val="1"/>
      <w:numFmt w:val="decimal"/>
      <w:pStyle w:val="2"/>
      <w:lvlText w:val="%1."/>
      <w:lvlJc w:val="left"/>
      <w:pPr>
        <w:ind w:left="425" w:hanging="425"/>
      </w:pPr>
      <w:rPr>
        <w:rFonts w:hint="default"/>
      </w:rPr>
    </w:lvl>
    <w:lvl w:ilvl="1" w:tentative="0">
      <w:start w:val="1"/>
      <w:numFmt w:val="decimal"/>
      <w:suff w:val="space"/>
      <w:lvlText w:val="%1.%2"/>
      <w:lvlJc w:val="left"/>
      <w:pPr>
        <w:ind w:left="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10">
    <w:nsid w:val="6DEC376B"/>
    <w:multiLevelType w:val="multilevel"/>
    <w:tmpl w:val="6DEC376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78F77190"/>
    <w:multiLevelType w:val="multilevel"/>
    <w:tmpl w:val="78F77190"/>
    <w:lvl w:ilvl="0" w:tentative="0">
      <w:start w:val="1"/>
      <w:numFmt w:val="bullet"/>
      <w:lvlText w:val="o"/>
      <w:lvlJc w:val="left"/>
      <w:pPr>
        <w:ind w:left="1800" w:hanging="360"/>
      </w:pPr>
      <w:rPr>
        <w:rFonts w:hint="default" w:ascii="Courier New" w:hAnsi="Courier New" w:cs="Courier New"/>
      </w:rPr>
    </w:lvl>
    <w:lvl w:ilvl="1" w:tentative="0">
      <w:start w:val="1"/>
      <w:numFmt w:val="bullet"/>
      <w:lvlText w:val="o"/>
      <w:lvlJc w:val="left"/>
      <w:pPr>
        <w:ind w:left="2520" w:hanging="360"/>
      </w:pPr>
      <w:rPr>
        <w:rFonts w:hint="default" w:ascii="Courier New" w:hAnsi="Courier New" w:cs="Courier New"/>
      </w:rPr>
    </w:lvl>
    <w:lvl w:ilvl="2" w:tentative="0">
      <w:start w:val="1"/>
      <w:numFmt w:val="bullet"/>
      <w:lvlText w:val=""/>
      <w:lvlJc w:val="left"/>
      <w:pPr>
        <w:ind w:left="3240" w:hanging="360"/>
      </w:pPr>
      <w:rPr>
        <w:rFonts w:hint="default" w:ascii="Wingdings" w:hAnsi="Wingdings"/>
      </w:rPr>
    </w:lvl>
    <w:lvl w:ilvl="3" w:tentative="0">
      <w:start w:val="1"/>
      <w:numFmt w:val="bullet"/>
      <w:lvlText w:val=""/>
      <w:lvlJc w:val="left"/>
      <w:pPr>
        <w:ind w:left="3960" w:hanging="360"/>
      </w:pPr>
      <w:rPr>
        <w:rFonts w:hint="default" w:ascii="Symbol" w:hAnsi="Symbol"/>
      </w:rPr>
    </w:lvl>
    <w:lvl w:ilvl="4" w:tentative="0">
      <w:start w:val="1"/>
      <w:numFmt w:val="bullet"/>
      <w:lvlText w:val="o"/>
      <w:lvlJc w:val="left"/>
      <w:pPr>
        <w:ind w:left="4680" w:hanging="360"/>
      </w:pPr>
      <w:rPr>
        <w:rFonts w:hint="default" w:ascii="Courier New" w:hAnsi="Courier New" w:cs="Courier New"/>
      </w:rPr>
    </w:lvl>
    <w:lvl w:ilvl="5" w:tentative="0">
      <w:start w:val="1"/>
      <w:numFmt w:val="bullet"/>
      <w:lvlText w:val=""/>
      <w:lvlJc w:val="left"/>
      <w:pPr>
        <w:ind w:left="5400" w:hanging="360"/>
      </w:pPr>
      <w:rPr>
        <w:rFonts w:hint="default" w:ascii="Wingdings" w:hAnsi="Wingdings"/>
      </w:rPr>
    </w:lvl>
    <w:lvl w:ilvl="6" w:tentative="0">
      <w:start w:val="1"/>
      <w:numFmt w:val="bullet"/>
      <w:lvlText w:val=""/>
      <w:lvlJc w:val="left"/>
      <w:pPr>
        <w:ind w:left="6120" w:hanging="360"/>
      </w:pPr>
      <w:rPr>
        <w:rFonts w:hint="default" w:ascii="Symbol" w:hAnsi="Symbol"/>
      </w:rPr>
    </w:lvl>
    <w:lvl w:ilvl="7" w:tentative="0">
      <w:start w:val="1"/>
      <w:numFmt w:val="bullet"/>
      <w:lvlText w:val="o"/>
      <w:lvlJc w:val="left"/>
      <w:pPr>
        <w:ind w:left="6840" w:hanging="360"/>
      </w:pPr>
      <w:rPr>
        <w:rFonts w:hint="default" w:ascii="Courier New" w:hAnsi="Courier New" w:cs="Courier New"/>
      </w:rPr>
    </w:lvl>
    <w:lvl w:ilvl="8" w:tentative="0">
      <w:start w:val="1"/>
      <w:numFmt w:val="bullet"/>
      <w:lvlText w:val=""/>
      <w:lvlJc w:val="left"/>
      <w:pPr>
        <w:ind w:left="7560" w:hanging="360"/>
      </w:pPr>
      <w:rPr>
        <w:rFonts w:hint="default" w:ascii="Wingdings" w:hAnsi="Wingdings"/>
      </w:rPr>
    </w:lvl>
  </w:abstractNum>
  <w:num w:numId="1">
    <w:abstractNumId w:val="9"/>
  </w:num>
  <w:num w:numId="2">
    <w:abstractNumId w:val="7"/>
  </w:num>
  <w:num w:numId="3">
    <w:abstractNumId w:val="4"/>
  </w:num>
  <w:num w:numId="4">
    <w:abstractNumId w:val="0"/>
  </w:num>
  <w:num w:numId="5">
    <w:abstractNumId w:val="1"/>
  </w:num>
  <w:num w:numId="6">
    <w:abstractNumId w:val="2"/>
  </w:num>
  <w:num w:numId="7">
    <w:abstractNumId w:val="10"/>
  </w:num>
  <w:num w:numId="8">
    <w:abstractNumId w:val="8"/>
  </w:num>
  <w:num w:numId="9">
    <w:abstractNumId w:val="11"/>
  </w:num>
  <w:num w:numId="10">
    <w:abstractNumId w:val="6"/>
  </w:num>
  <w:num w:numId="11">
    <w:abstractNumId w:val="5"/>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bordersDoNotSurroundHeader w:val="1"/>
  <w:bordersDoNotSurroundFooter w:val="1"/>
  <w:documentProtection w:enforcement="0"/>
  <w:defaultTabStop w:val="720"/>
  <w:noPunctuationKerning w:val="1"/>
  <w:characterSpacingControl w:val="doNotCompress"/>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AD"/>
    <w:rsid w:val="0000024E"/>
    <w:rsid w:val="00000673"/>
    <w:rsid w:val="000006A4"/>
    <w:rsid w:val="00000F10"/>
    <w:rsid w:val="0000143A"/>
    <w:rsid w:val="00001B6B"/>
    <w:rsid w:val="00001BEA"/>
    <w:rsid w:val="000020FF"/>
    <w:rsid w:val="0000233C"/>
    <w:rsid w:val="00002AC2"/>
    <w:rsid w:val="00002E58"/>
    <w:rsid w:val="00003174"/>
    <w:rsid w:val="00003258"/>
    <w:rsid w:val="00003708"/>
    <w:rsid w:val="000038E9"/>
    <w:rsid w:val="00004ADA"/>
    <w:rsid w:val="00004CAD"/>
    <w:rsid w:val="00004CD6"/>
    <w:rsid w:val="00004D4A"/>
    <w:rsid w:val="00004FBC"/>
    <w:rsid w:val="000053D7"/>
    <w:rsid w:val="0000552C"/>
    <w:rsid w:val="00006751"/>
    <w:rsid w:val="00006ADB"/>
    <w:rsid w:val="00007695"/>
    <w:rsid w:val="00007E56"/>
    <w:rsid w:val="00007EC7"/>
    <w:rsid w:val="00010129"/>
    <w:rsid w:val="00010357"/>
    <w:rsid w:val="00010450"/>
    <w:rsid w:val="00010AD0"/>
    <w:rsid w:val="00010F96"/>
    <w:rsid w:val="00011255"/>
    <w:rsid w:val="00011A3D"/>
    <w:rsid w:val="00011DE0"/>
    <w:rsid w:val="00012153"/>
    <w:rsid w:val="0001222B"/>
    <w:rsid w:val="000122F2"/>
    <w:rsid w:val="0001249C"/>
    <w:rsid w:val="00012883"/>
    <w:rsid w:val="00012893"/>
    <w:rsid w:val="00012931"/>
    <w:rsid w:val="0001305C"/>
    <w:rsid w:val="0001384E"/>
    <w:rsid w:val="00013DB9"/>
    <w:rsid w:val="00014608"/>
    <w:rsid w:val="000146A9"/>
    <w:rsid w:val="00014D5E"/>
    <w:rsid w:val="0001533E"/>
    <w:rsid w:val="0001556E"/>
    <w:rsid w:val="000158D5"/>
    <w:rsid w:val="00015D9A"/>
    <w:rsid w:val="00015E9C"/>
    <w:rsid w:val="00016074"/>
    <w:rsid w:val="000161F8"/>
    <w:rsid w:val="00016B2E"/>
    <w:rsid w:val="00016C21"/>
    <w:rsid w:val="00016E37"/>
    <w:rsid w:val="00017B42"/>
    <w:rsid w:val="00020333"/>
    <w:rsid w:val="00020425"/>
    <w:rsid w:val="000205F7"/>
    <w:rsid w:val="00020A08"/>
    <w:rsid w:val="0002110F"/>
    <w:rsid w:val="00021498"/>
    <w:rsid w:val="0002166D"/>
    <w:rsid w:val="000216D8"/>
    <w:rsid w:val="000218FA"/>
    <w:rsid w:val="000221CF"/>
    <w:rsid w:val="000225E0"/>
    <w:rsid w:val="00022B42"/>
    <w:rsid w:val="00022D81"/>
    <w:rsid w:val="00022D9B"/>
    <w:rsid w:val="000237BD"/>
    <w:rsid w:val="00023805"/>
    <w:rsid w:val="00023E27"/>
    <w:rsid w:val="000245D1"/>
    <w:rsid w:val="0002485B"/>
    <w:rsid w:val="00024A73"/>
    <w:rsid w:val="00024C73"/>
    <w:rsid w:val="00024CCB"/>
    <w:rsid w:val="00025A8B"/>
    <w:rsid w:val="00025BAF"/>
    <w:rsid w:val="00025CC8"/>
    <w:rsid w:val="00025D84"/>
    <w:rsid w:val="0002605D"/>
    <w:rsid w:val="00026376"/>
    <w:rsid w:val="000263E0"/>
    <w:rsid w:val="00026A4C"/>
    <w:rsid w:val="00026CF8"/>
    <w:rsid w:val="0002727B"/>
    <w:rsid w:val="00027549"/>
    <w:rsid w:val="00027E72"/>
    <w:rsid w:val="000302B9"/>
    <w:rsid w:val="00030979"/>
    <w:rsid w:val="00030D97"/>
    <w:rsid w:val="0003116E"/>
    <w:rsid w:val="00031587"/>
    <w:rsid w:val="000318F7"/>
    <w:rsid w:val="00031945"/>
    <w:rsid w:val="00031C54"/>
    <w:rsid w:val="000328CE"/>
    <w:rsid w:val="00032C2F"/>
    <w:rsid w:val="00032D79"/>
    <w:rsid w:val="000331E1"/>
    <w:rsid w:val="00033501"/>
    <w:rsid w:val="00033550"/>
    <w:rsid w:val="000335BC"/>
    <w:rsid w:val="00033690"/>
    <w:rsid w:val="000339DF"/>
    <w:rsid w:val="00033A56"/>
    <w:rsid w:val="00033F90"/>
    <w:rsid w:val="0003428C"/>
    <w:rsid w:val="00034461"/>
    <w:rsid w:val="00034A9C"/>
    <w:rsid w:val="000351DE"/>
    <w:rsid w:val="0003584D"/>
    <w:rsid w:val="00035AB7"/>
    <w:rsid w:val="0003623A"/>
    <w:rsid w:val="000363C0"/>
    <w:rsid w:val="000364F6"/>
    <w:rsid w:val="00036A3C"/>
    <w:rsid w:val="00036ACC"/>
    <w:rsid w:val="000372AC"/>
    <w:rsid w:val="000377C6"/>
    <w:rsid w:val="00037B36"/>
    <w:rsid w:val="00037B68"/>
    <w:rsid w:val="00037BE2"/>
    <w:rsid w:val="00040EF5"/>
    <w:rsid w:val="00041663"/>
    <w:rsid w:val="0004183B"/>
    <w:rsid w:val="000425B7"/>
    <w:rsid w:val="000425E4"/>
    <w:rsid w:val="00042A3A"/>
    <w:rsid w:val="00043032"/>
    <w:rsid w:val="00043FC9"/>
    <w:rsid w:val="00044A67"/>
    <w:rsid w:val="000451CD"/>
    <w:rsid w:val="00045217"/>
    <w:rsid w:val="000456C6"/>
    <w:rsid w:val="00045CC4"/>
    <w:rsid w:val="00045F77"/>
    <w:rsid w:val="00046155"/>
    <w:rsid w:val="00046173"/>
    <w:rsid w:val="00046217"/>
    <w:rsid w:val="00046220"/>
    <w:rsid w:val="00046941"/>
    <w:rsid w:val="00046E7D"/>
    <w:rsid w:val="0004708B"/>
    <w:rsid w:val="0004723D"/>
    <w:rsid w:val="00047387"/>
    <w:rsid w:val="00047AF2"/>
    <w:rsid w:val="00047D5F"/>
    <w:rsid w:val="00047EE5"/>
    <w:rsid w:val="00047FE0"/>
    <w:rsid w:val="00050459"/>
    <w:rsid w:val="00050C54"/>
    <w:rsid w:val="0005146D"/>
    <w:rsid w:val="00051FBF"/>
    <w:rsid w:val="000520E2"/>
    <w:rsid w:val="00052211"/>
    <w:rsid w:val="0005285F"/>
    <w:rsid w:val="00052C6E"/>
    <w:rsid w:val="00052D64"/>
    <w:rsid w:val="00052EDF"/>
    <w:rsid w:val="00053A64"/>
    <w:rsid w:val="00053C82"/>
    <w:rsid w:val="0005456A"/>
    <w:rsid w:val="000547FF"/>
    <w:rsid w:val="00054E4B"/>
    <w:rsid w:val="00054FA3"/>
    <w:rsid w:val="000554D6"/>
    <w:rsid w:val="000555B6"/>
    <w:rsid w:val="00055B52"/>
    <w:rsid w:val="00055CFD"/>
    <w:rsid w:val="00055D56"/>
    <w:rsid w:val="00055FD9"/>
    <w:rsid w:val="00056115"/>
    <w:rsid w:val="000561F5"/>
    <w:rsid w:val="00056C09"/>
    <w:rsid w:val="00057050"/>
    <w:rsid w:val="000573B1"/>
    <w:rsid w:val="00057F16"/>
    <w:rsid w:val="000603C5"/>
    <w:rsid w:val="00060A28"/>
    <w:rsid w:val="00060EF0"/>
    <w:rsid w:val="0006229F"/>
    <w:rsid w:val="00062535"/>
    <w:rsid w:val="000632DA"/>
    <w:rsid w:val="0006367A"/>
    <w:rsid w:val="00063B95"/>
    <w:rsid w:val="00063CEA"/>
    <w:rsid w:val="000642E9"/>
    <w:rsid w:val="000644B3"/>
    <w:rsid w:val="00064C67"/>
    <w:rsid w:val="00064D07"/>
    <w:rsid w:val="000653E6"/>
    <w:rsid w:val="00065561"/>
    <w:rsid w:val="00065645"/>
    <w:rsid w:val="000656B1"/>
    <w:rsid w:val="00065D1B"/>
    <w:rsid w:val="00065FBD"/>
    <w:rsid w:val="0006638A"/>
    <w:rsid w:val="00066EE6"/>
    <w:rsid w:val="00066EFD"/>
    <w:rsid w:val="00067137"/>
    <w:rsid w:val="0006751A"/>
    <w:rsid w:val="00067B4E"/>
    <w:rsid w:val="00067F89"/>
    <w:rsid w:val="00070513"/>
    <w:rsid w:val="000706F4"/>
    <w:rsid w:val="00070B9D"/>
    <w:rsid w:val="0007105C"/>
    <w:rsid w:val="0007128A"/>
    <w:rsid w:val="0007178A"/>
    <w:rsid w:val="00071853"/>
    <w:rsid w:val="00071B2E"/>
    <w:rsid w:val="000720E1"/>
    <w:rsid w:val="0007239C"/>
    <w:rsid w:val="0007294B"/>
    <w:rsid w:val="00072D70"/>
    <w:rsid w:val="00073220"/>
    <w:rsid w:val="00073B77"/>
    <w:rsid w:val="00074C4E"/>
    <w:rsid w:val="00074C9A"/>
    <w:rsid w:val="0007518A"/>
    <w:rsid w:val="00075737"/>
    <w:rsid w:val="00075A19"/>
    <w:rsid w:val="00075E90"/>
    <w:rsid w:val="00076E27"/>
    <w:rsid w:val="000770DD"/>
    <w:rsid w:val="000772A5"/>
    <w:rsid w:val="00077580"/>
    <w:rsid w:val="000778B0"/>
    <w:rsid w:val="00077BBC"/>
    <w:rsid w:val="00077C64"/>
    <w:rsid w:val="00077E44"/>
    <w:rsid w:val="00077EAE"/>
    <w:rsid w:val="000807DA"/>
    <w:rsid w:val="00081633"/>
    <w:rsid w:val="00081A62"/>
    <w:rsid w:val="00082770"/>
    <w:rsid w:val="00083055"/>
    <w:rsid w:val="000830C1"/>
    <w:rsid w:val="0008323D"/>
    <w:rsid w:val="000832AB"/>
    <w:rsid w:val="00083466"/>
    <w:rsid w:val="0008383D"/>
    <w:rsid w:val="00083968"/>
    <w:rsid w:val="000839FC"/>
    <w:rsid w:val="0008417F"/>
    <w:rsid w:val="000843EC"/>
    <w:rsid w:val="00084496"/>
    <w:rsid w:val="00084D5C"/>
    <w:rsid w:val="00084F43"/>
    <w:rsid w:val="000852E9"/>
    <w:rsid w:val="0008548D"/>
    <w:rsid w:val="00085538"/>
    <w:rsid w:val="00085A45"/>
    <w:rsid w:val="00085F75"/>
    <w:rsid w:val="00086065"/>
    <w:rsid w:val="000860DA"/>
    <w:rsid w:val="0008679B"/>
    <w:rsid w:val="00086892"/>
    <w:rsid w:val="00086DA3"/>
    <w:rsid w:val="00086EC1"/>
    <w:rsid w:val="000879FD"/>
    <w:rsid w:val="00087A68"/>
    <w:rsid w:val="00087C73"/>
    <w:rsid w:val="00090268"/>
    <w:rsid w:val="00090BF1"/>
    <w:rsid w:val="0009163E"/>
    <w:rsid w:val="0009192E"/>
    <w:rsid w:val="00092597"/>
    <w:rsid w:val="000925FC"/>
    <w:rsid w:val="00092877"/>
    <w:rsid w:val="000928B2"/>
    <w:rsid w:val="00092B21"/>
    <w:rsid w:val="00092F8C"/>
    <w:rsid w:val="000931B9"/>
    <w:rsid w:val="000937E6"/>
    <w:rsid w:val="00093A14"/>
    <w:rsid w:val="00094009"/>
    <w:rsid w:val="00094010"/>
    <w:rsid w:val="00094071"/>
    <w:rsid w:val="000943E6"/>
    <w:rsid w:val="00094801"/>
    <w:rsid w:val="000948F7"/>
    <w:rsid w:val="00094B04"/>
    <w:rsid w:val="00094D98"/>
    <w:rsid w:val="000953F9"/>
    <w:rsid w:val="00095B69"/>
    <w:rsid w:val="00095D9D"/>
    <w:rsid w:val="0009607D"/>
    <w:rsid w:val="000965F7"/>
    <w:rsid w:val="000966C6"/>
    <w:rsid w:val="00096B40"/>
    <w:rsid w:val="00096CE5"/>
    <w:rsid w:val="000973FF"/>
    <w:rsid w:val="00097864"/>
    <w:rsid w:val="000978A5"/>
    <w:rsid w:val="00097D07"/>
    <w:rsid w:val="000A0532"/>
    <w:rsid w:val="000A096B"/>
    <w:rsid w:val="000A0D74"/>
    <w:rsid w:val="000A0EAE"/>
    <w:rsid w:val="000A12D2"/>
    <w:rsid w:val="000A1673"/>
    <w:rsid w:val="000A1A14"/>
    <w:rsid w:val="000A1D16"/>
    <w:rsid w:val="000A2423"/>
    <w:rsid w:val="000A3280"/>
    <w:rsid w:val="000A3E2A"/>
    <w:rsid w:val="000A3F47"/>
    <w:rsid w:val="000A3FB0"/>
    <w:rsid w:val="000A4702"/>
    <w:rsid w:val="000A4EF4"/>
    <w:rsid w:val="000A5AFC"/>
    <w:rsid w:val="000A5B65"/>
    <w:rsid w:val="000A67AC"/>
    <w:rsid w:val="000A6F50"/>
    <w:rsid w:val="000A73C6"/>
    <w:rsid w:val="000A74E7"/>
    <w:rsid w:val="000A7C6D"/>
    <w:rsid w:val="000B0095"/>
    <w:rsid w:val="000B0365"/>
    <w:rsid w:val="000B0716"/>
    <w:rsid w:val="000B07B4"/>
    <w:rsid w:val="000B089C"/>
    <w:rsid w:val="000B0AE4"/>
    <w:rsid w:val="000B1139"/>
    <w:rsid w:val="000B1956"/>
    <w:rsid w:val="000B19D0"/>
    <w:rsid w:val="000B1C95"/>
    <w:rsid w:val="000B2434"/>
    <w:rsid w:val="000B3C8B"/>
    <w:rsid w:val="000B3D05"/>
    <w:rsid w:val="000B3D3B"/>
    <w:rsid w:val="000B3DA2"/>
    <w:rsid w:val="000B3E3E"/>
    <w:rsid w:val="000B4313"/>
    <w:rsid w:val="000B43FC"/>
    <w:rsid w:val="000B4A3A"/>
    <w:rsid w:val="000B518A"/>
    <w:rsid w:val="000B5851"/>
    <w:rsid w:val="000B5931"/>
    <w:rsid w:val="000B5CBD"/>
    <w:rsid w:val="000B6014"/>
    <w:rsid w:val="000B60E7"/>
    <w:rsid w:val="000B635D"/>
    <w:rsid w:val="000B6596"/>
    <w:rsid w:val="000B6A81"/>
    <w:rsid w:val="000B74C5"/>
    <w:rsid w:val="000B764C"/>
    <w:rsid w:val="000B7D1A"/>
    <w:rsid w:val="000C0A29"/>
    <w:rsid w:val="000C0ABC"/>
    <w:rsid w:val="000C0B6F"/>
    <w:rsid w:val="000C0CE9"/>
    <w:rsid w:val="000C0D60"/>
    <w:rsid w:val="000C169F"/>
    <w:rsid w:val="000C20A7"/>
    <w:rsid w:val="000C241F"/>
    <w:rsid w:val="000C253F"/>
    <w:rsid w:val="000C25DF"/>
    <w:rsid w:val="000C2880"/>
    <w:rsid w:val="000C29B2"/>
    <w:rsid w:val="000C2B93"/>
    <w:rsid w:val="000C3030"/>
    <w:rsid w:val="000C390E"/>
    <w:rsid w:val="000C3ECB"/>
    <w:rsid w:val="000C404E"/>
    <w:rsid w:val="000C4966"/>
    <w:rsid w:val="000C529F"/>
    <w:rsid w:val="000C5326"/>
    <w:rsid w:val="000C5FC3"/>
    <w:rsid w:val="000C6AFD"/>
    <w:rsid w:val="000C6C55"/>
    <w:rsid w:val="000C6D71"/>
    <w:rsid w:val="000C7053"/>
    <w:rsid w:val="000C73C6"/>
    <w:rsid w:val="000C780F"/>
    <w:rsid w:val="000C781B"/>
    <w:rsid w:val="000D01F8"/>
    <w:rsid w:val="000D0513"/>
    <w:rsid w:val="000D08C6"/>
    <w:rsid w:val="000D1D31"/>
    <w:rsid w:val="000D2EE7"/>
    <w:rsid w:val="000D3146"/>
    <w:rsid w:val="000D4287"/>
    <w:rsid w:val="000D4EDA"/>
    <w:rsid w:val="000D5115"/>
    <w:rsid w:val="000D571E"/>
    <w:rsid w:val="000D5CCB"/>
    <w:rsid w:val="000D6020"/>
    <w:rsid w:val="000D6174"/>
    <w:rsid w:val="000D6512"/>
    <w:rsid w:val="000D66BC"/>
    <w:rsid w:val="000D6DA5"/>
    <w:rsid w:val="000D6F8E"/>
    <w:rsid w:val="000D6FCF"/>
    <w:rsid w:val="000D7464"/>
    <w:rsid w:val="000D748B"/>
    <w:rsid w:val="000D78E1"/>
    <w:rsid w:val="000D7917"/>
    <w:rsid w:val="000D7A0D"/>
    <w:rsid w:val="000E018F"/>
    <w:rsid w:val="000E0837"/>
    <w:rsid w:val="000E0971"/>
    <w:rsid w:val="000E0A85"/>
    <w:rsid w:val="000E12F2"/>
    <w:rsid w:val="000E1769"/>
    <w:rsid w:val="000E1950"/>
    <w:rsid w:val="000E1A22"/>
    <w:rsid w:val="000E1D0C"/>
    <w:rsid w:val="000E1FD5"/>
    <w:rsid w:val="000E26E0"/>
    <w:rsid w:val="000E2729"/>
    <w:rsid w:val="000E2C69"/>
    <w:rsid w:val="000E32F5"/>
    <w:rsid w:val="000E3341"/>
    <w:rsid w:val="000E33AB"/>
    <w:rsid w:val="000E36FE"/>
    <w:rsid w:val="000E3CAE"/>
    <w:rsid w:val="000E3D01"/>
    <w:rsid w:val="000E3DE8"/>
    <w:rsid w:val="000E4358"/>
    <w:rsid w:val="000E451F"/>
    <w:rsid w:val="000E4640"/>
    <w:rsid w:val="000E4B1C"/>
    <w:rsid w:val="000E4B3F"/>
    <w:rsid w:val="000E506B"/>
    <w:rsid w:val="000E51DD"/>
    <w:rsid w:val="000E5480"/>
    <w:rsid w:val="000E5832"/>
    <w:rsid w:val="000E6009"/>
    <w:rsid w:val="000E6202"/>
    <w:rsid w:val="000E701E"/>
    <w:rsid w:val="000E723B"/>
    <w:rsid w:val="000E7BD2"/>
    <w:rsid w:val="000F03F3"/>
    <w:rsid w:val="000F0683"/>
    <w:rsid w:val="000F12BD"/>
    <w:rsid w:val="000F170B"/>
    <w:rsid w:val="000F187C"/>
    <w:rsid w:val="000F1C2F"/>
    <w:rsid w:val="000F20C2"/>
    <w:rsid w:val="000F24D2"/>
    <w:rsid w:val="000F2863"/>
    <w:rsid w:val="000F2CCB"/>
    <w:rsid w:val="000F3190"/>
    <w:rsid w:val="000F31F2"/>
    <w:rsid w:val="000F3AA8"/>
    <w:rsid w:val="000F3ED7"/>
    <w:rsid w:val="000F3EDC"/>
    <w:rsid w:val="000F3F8C"/>
    <w:rsid w:val="000F41EE"/>
    <w:rsid w:val="000F4A0B"/>
    <w:rsid w:val="000F4E09"/>
    <w:rsid w:val="000F645C"/>
    <w:rsid w:val="000F6E24"/>
    <w:rsid w:val="000F76AD"/>
    <w:rsid w:val="000F7851"/>
    <w:rsid w:val="000F7D95"/>
    <w:rsid w:val="000F7EB2"/>
    <w:rsid w:val="001006AE"/>
    <w:rsid w:val="00100807"/>
    <w:rsid w:val="00100A87"/>
    <w:rsid w:val="0010107C"/>
    <w:rsid w:val="001012CE"/>
    <w:rsid w:val="0010131F"/>
    <w:rsid w:val="00101987"/>
    <w:rsid w:val="0010285C"/>
    <w:rsid w:val="001028A5"/>
    <w:rsid w:val="00102B4B"/>
    <w:rsid w:val="00102BC4"/>
    <w:rsid w:val="00102DF3"/>
    <w:rsid w:val="001035E1"/>
    <w:rsid w:val="001036EB"/>
    <w:rsid w:val="00103E6A"/>
    <w:rsid w:val="00104B9A"/>
    <w:rsid w:val="00104D68"/>
    <w:rsid w:val="0010516E"/>
    <w:rsid w:val="00105539"/>
    <w:rsid w:val="00105ED4"/>
    <w:rsid w:val="00106311"/>
    <w:rsid w:val="001064F0"/>
    <w:rsid w:val="00106640"/>
    <w:rsid w:val="00106D97"/>
    <w:rsid w:val="0010740F"/>
    <w:rsid w:val="00107903"/>
    <w:rsid w:val="001105EB"/>
    <w:rsid w:val="00110683"/>
    <w:rsid w:val="00110855"/>
    <w:rsid w:val="00110A45"/>
    <w:rsid w:val="00110DE7"/>
    <w:rsid w:val="00110DFA"/>
    <w:rsid w:val="001119DD"/>
    <w:rsid w:val="00111D32"/>
    <w:rsid w:val="00111D40"/>
    <w:rsid w:val="00112199"/>
    <w:rsid w:val="00112218"/>
    <w:rsid w:val="001128AA"/>
    <w:rsid w:val="0011299E"/>
    <w:rsid w:val="001129CC"/>
    <w:rsid w:val="00112B5E"/>
    <w:rsid w:val="00112C74"/>
    <w:rsid w:val="0011327D"/>
    <w:rsid w:val="00113466"/>
    <w:rsid w:val="00113716"/>
    <w:rsid w:val="00113A42"/>
    <w:rsid w:val="0011426E"/>
    <w:rsid w:val="00114983"/>
    <w:rsid w:val="00114DAF"/>
    <w:rsid w:val="00114E7D"/>
    <w:rsid w:val="0011503A"/>
    <w:rsid w:val="00115232"/>
    <w:rsid w:val="001154C7"/>
    <w:rsid w:val="00115F21"/>
    <w:rsid w:val="00115FDD"/>
    <w:rsid w:val="00116578"/>
    <w:rsid w:val="00116B1E"/>
    <w:rsid w:val="00116B45"/>
    <w:rsid w:val="00117281"/>
    <w:rsid w:val="001174CF"/>
    <w:rsid w:val="001176E4"/>
    <w:rsid w:val="00117E8F"/>
    <w:rsid w:val="001202DE"/>
    <w:rsid w:val="00120F59"/>
    <w:rsid w:val="00121411"/>
    <w:rsid w:val="001216C5"/>
    <w:rsid w:val="00121774"/>
    <w:rsid w:val="001217DC"/>
    <w:rsid w:val="0012191D"/>
    <w:rsid w:val="001219B3"/>
    <w:rsid w:val="00121B1D"/>
    <w:rsid w:val="001224B7"/>
    <w:rsid w:val="00122814"/>
    <w:rsid w:val="0012313B"/>
    <w:rsid w:val="001232F1"/>
    <w:rsid w:val="0012334A"/>
    <w:rsid w:val="00123D36"/>
    <w:rsid w:val="00124A72"/>
    <w:rsid w:val="00124EE0"/>
    <w:rsid w:val="00125349"/>
    <w:rsid w:val="00125CF1"/>
    <w:rsid w:val="00126047"/>
    <w:rsid w:val="001261C0"/>
    <w:rsid w:val="001265CC"/>
    <w:rsid w:val="00126631"/>
    <w:rsid w:val="00126C20"/>
    <w:rsid w:val="001272AF"/>
    <w:rsid w:val="00127399"/>
    <w:rsid w:val="001276AF"/>
    <w:rsid w:val="001279FB"/>
    <w:rsid w:val="00127D68"/>
    <w:rsid w:val="00130439"/>
    <w:rsid w:val="00130467"/>
    <w:rsid w:val="0013074D"/>
    <w:rsid w:val="00130E46"/>
    <w:rsid w:val="00130EEA"/>
    <w:rsid w:val="00131220"/>
    <w:rsid w:val="00131592"/>
    <w:rsid w:val="001315C5"/>
    <w:rsid w:val="001315ED"/>
    <w:rsid w:val="00131BB7"/>
    <w:rsid w:val="00131F05"/>
    <w:rsid w:val="00131F68"/>
    <w:rsid w:val="00132659"/>
    <w:rsid w:val="00132679"/>
    <w:rsid w:val="001329BF"/>
    <w:rsid w:val="00134650"/>
    <w:rsid w:val="00135398"/>
    <w:rsid w:val="001353B7"/>
    <w:rsid w:val="001356D1"/>
    <w:rsid w:val="001359AC"/>
    <w:rsid w:val="00135B4C"/>
    <w:rsid w:val="00135BB8"/>
    <w:rsid w:val="00135E73"/>
    <w:rsid w:val="00135E74"/>
    <w:rsid w:val="00135ED7"/>
    <w:rsid w:val="00136A8B"/>
    <w:rsid w:val="00136D8A"/>
    <w:rsid w:val="00137094"/>
    <w:rsid w:val="00137AB5"/>
    <w:rsid w:val="00140332"/>
    <w:rsid w:val="0014042B"/>
    <w:rsid w:val="00140AD4"/>
    <w:rsid w:val="00140E28"/>
    <w:rsid w:val="001417E1"/>
    <w:rsid w:val="00141815"/>
    <w:rsid w:val="0014189A"/>
    <w:rsid w:val="00141AD0"/>
    <w:rsid w:val="00142347"/>
    <w:rsid w:val="00142368"/>
    <w:rsid w:val="0014267D"/>
    <w:rsid w:val="001426C2"/>
    <w:rsid w:val="00142C47"/>
    <w:rsid w:val="00142DAE"/>
    <w:rsid w:val="00143412"/>
    <w:rsid w:val="0014375B"/>
    <w:rsid w:val="0014424C"/>
    <w:rsid w:val="00144588"/>
    <w:rsid w:val="00144610"/>
    <w:rsid w:val="00145850"/>
    <w:rsid w:val="0014593F"/>
    <w:rsid w:val="001459F2"/>
    <w:rsid w:val="00145CF4"/>
    <w:rsid w:val="001460B8"/>
    <w:rsid w:val="00146358"/>
    <w:rsid w:val="001466EE"/>
    <w:rsid w:val="0014680E"/>
    <w:rsid w:val="00146AB1"/>
    <w:rsid w:val="00146F80"/>
    <w:rsid w:val="001479E3"/>
    <w:rsid w:val="00147A6A"/>
    <w:rsid w:val="00147F46"/>
    <w:rsid w:val="0015022C"/>
    <w:rsid w:val="0015095C"/>
    <w:rsid w:val="00150D37"/>
    <w:rsid w:val="00150D7D"/>
    <w:rsid w:val="00151189"/>
    <w:rsid w:val="00151C2D"/>
    <w:rsid w:val="00151C8A"/>
    <w:rsid w:val="00151D2E"/>
    <w:rsid w:val="00151E6D"/>
    <w:rsid w:val="001520D6"/>
    <w:rsid w:val="001523AB"/>
    <w:rsid w:val="00152500"/>
    <w:rsid w:val="00153115"/>
    <w:rsid w:val="001533B9"/>
    <w:rsid w:val="001536E6"/>
    <w:rsid w:val="001538CD"/>
    <w:rsid w:val="00153999"/>
    <w:rsid w:val="00153E22"/>
    <w:rsid w:val="0015454F"/>
    <w:rsid w:val="00154637"/>
    <w:rsid w:val="001546A9"/>
    <w:rsid w:val="0015491C"/>
    <w:rsid w:val="00154ACD"/>
    <w:rsid w:val="0015572D"/>
    <w:rsid w:val="00155A38"/>
    <w:rsid w:val="00155C03"/>
    <w:rsid w:val="00155CF6"/>
    <w:rsid w:val="00156253"/>
    <w:rsid w:val="0015638D"/>
    <w:rsid w:val="00156478"/>
    <w:rsid w:val="00156EDD"/>
    <w:rsid w:val="001575EC"/>
    <w:rsid w:val="00157820"/>
    <w:rsid w:val="00157868"/>
    <w:rsid w:val="0016001A"/>
    <w:rsid w:val="00160306"/>
    <w:rsid w:val="0016039E"/>
    <w:rsid w:val="0016060B"/>
    <w:rsid w:val="0016070F"/>
    <w:rsid w:val="0016181E"/>
    <w:rsid w:val="00162A56"/>
    <w:rsid w:val="00162F5E"/>
    <w:rsid w:val="00163B33"/>
    <w:rsid w:val="00163E5E"/>
    <w:rsid w:val="00164219"/>
    <w:rsid w:val="0016470C"/>
    <w:rsid w:val="00164AAC"/>
    <w:rsid w:val="001652AE"/>
    <w:rsid w:val="00165409"/>
    <w:rsid w:val="0016597A"/>
    <w:rsid w:val="00165D9D"/>
    <w:rsid w:val="00165F76"/>
    <w:rsid w:val="0016630D"/>
    <w:rsid w:val="001670C3"/>
    <w:rsid w:val="001672C3"/>
    <w:rsid w:val="00167BA9"/>
    <w:rsid w:val="00167E53"/>
    <w:rsid w:val="00170211"/>
    <w:rsid w:val="001702A2"/>
    <w:rsid w:val="00170388"/>
    <w:rsid w:val="001706D3"/>
    <w:rsid w:val="00170BFF"/>
    <w:rsid w:val="00170E88"/>
    <w:rsid w:val="001710CE"/>
    <w:rsid w:val="00171201"/>
    <w:rsid w:val="00171744"/>
    <w:rsid w:val="00171AA3"/>
    <w:rsid w:val="001724D2"/>
    <w:rsid w:val="001729DF"/>
    <w:rsid w:val="00172A27"/>
    <w:rsid w:val="00172B79"/>
    <w:rsid w:val="00172DF5"/>
    <w:rsid w:val="001730BC"/>
    <w:rsid w:val="00173315"/>
    <w:rsid w:val="0017364A"/>
    <w:rsid w:val="0017392D"/>
    <w:rsid w:val="00173C7F"/>
    <w:rsid w:val="00173FD9"/>
    <w:rsid w:val="0017434C"/>
    <w:rsid w:val="00174399"/>
    <w:rsid w:val="001749CC"/>
    <w:rsid w:val="00174AA8"/>
    <w:rsid w:val="00174B42"/>
    <w:rsid w:val="00174BDC"/>
    <w:rsid w:val="00174BF8"/>
    <w:rsid w:val="00175020"/>
    <w:rsid w:val="0017542F"/>
    <w:rsid w:val="00175768"/>
    <w:rsid w:val="001759AB"/>
    <w:rsid w:val="00175A76"/>
    <w:rsid w:val="00175A96"/>
    <w:rsid w:val="0017616E"/>
    <w:rsid w:val="0017637E"/>
    <w:rsid w:val="001763C5"/>
    <w:rsid w:val="001766C4"/>
    <w:rsid w:val="0017706B"/>
    <w:rsid w:val="00177259"/>
    <w:rsid w:val="00177633"/>
    <w:rsid w:val="00177DC5"/>
    <w:rsid w:val="0018067B"/>
    <w:rsid w:val="00180D3D"/>
    <w:rsid w:val="0018130F"/>
    <w:rsid w:val="00181939"/>
    <w:rsid w:val="001819F3"/>
    <w:rsid w:val="00181BA5"/>
    <w:rsid w:val="0018203A"/>
    <w:rsid w:val="00182202"/>
    <w:rsid w:val="00182597"/>
    <w:rsid w:val="0018270C"/>
    <w:rsid w:val="0018294B"/>
    <w:rsid w:val="00182A66"/>
    <w:rsid w:val="00182D7E"/>
    <w:rsid w:val="00182DD8"/>
    <w:rsid w:val="00182F73"/>
    <w:rsid w:val="00182FF3"/>
    <w:rsid w:val="00183000"/>
    <w:rsid w:val="001831C7"/>
    <w:rsid w:val="001831E5"/>
    <w:rsid w:val="00183558"/>
    <w:rsid w:val="0018443C"/>
    <w:rsid w:val="00184B7F"/>
    <w:rsid w:val="00184BA9"/>
    <w:rsid w:val="00184D44"/>
    <w:rsid w:val="00185151"/>
    <w:rsid w:val="001857DA"/>
    <w:rsid w:val="001859B5"/>
    <w:rsid w:val="00185F9F"/>
    <w:rsid w:val="001864B7"/>
    <w:rsid w:val="00186B67"/>
    <w:rsid w:val="00186CC2"/>
    <w:rsid w:val="00187E71"/>
    <w:rsid w:val="0019006D"/>
    <w:rsid w:val="00190722"/>
    <w:rsid w:val="0019077D"/>
    <w:rsid w:val="00190864"/>
    <w:rsid w:val="00190A53"/>
    <w:rsid w:val="00190A72"/>
    <w:rsid w:val="00190B83"/>
    <w:rsid w:val="00190D9B"/>
    <w:rsid w:val="00190EDD"/>
    <w:rsid w:val="00191BEE"/>
    <w:rsid w:val="00191C1D"/>
    <w:rsid w:val="00191F35"/>
    <w:rsid w:val="00192870"/>
    <w:rsid w:val="00192939"/>
    <w:rsid w:val="0019294D"/>
    <w:rsid w:val="0019337A"/>
    <w:rsid w:val="0019383C"/>
    <w:rsid w:val="00193896"/>
    <w:rsid w:val="00193F68"/>
    <w:rsid w:val="001940BD"/>
    <w:rsid w:val="001944A1"/>
    <w:rsid w:val="001945FA"/>
    <w:rsid w:val="00194835"/>
    <w:rsid w:val="00194E5A"/>
    <w:rsid w:val="00194F05"/>
    <w:rsid w:val="00195381"/>
    <w:rsid w:val="00195550"/>
    <w:rsid w:val="00195705"/>
    <w:rsid w:val="001957B5"/>
    <w:rsid w:val="00196252"/>
    <w:rsid w:val="00196DC2"/>
    <w:rsid w:val="001978CD"/>
    <w:rsid w:val="001A012E"/>
    <w:rsid w:val="001A028B"/>
    <w:rsid w:val="001A0A82"/>
    <w:rsid w:val="001A12CA"/>
    <w:rsid w:val="001A151B"/>
    <w:rsid w:val="001A1588"/>
    <w:rsid w:val="001A1801"/>
    <w:rsid w:val="001A2830"/>
    <w:rsid w:val="001A29E6"/>
    <w:rsid w:val="001A3361"/>
    <w:rsid w:val="001A3575"/>
    <w:rsid w:val="001A4731"/>
    <w:rsid w:val="001A4768"/>
    <w:rsid w:val="001A4B54"/>
    <w:rsid w:val="001A5125"/>
    <w:rsid w:val="001A53AB"/>
    <w:rsid w:val="001A55A3"/>
    <w:rsid w:val="001A5ABC"/>
    <w:rsid w:val="001A6752"/>
    <w:rsid w:val="001A7B7B"/>
    <w:rsid w:val="001B085D"/>
    <w:rsid w:val="001B0A6E"/>
    <w:rsid w:val="001B0FFE"/>
    <w:rsid w:val="001B116E"/>
    <w:rsid w:val="001B11BC"/>
    <w:rsid w:val="001B15F9"/>
    <w:rsid w:val="001B1614"/>
    <w:rsid w:val="001B1AF6"/>
    <w:rsid w:val="001B1AFC"/>
    <w:rsid w:val="001B1BCF"/>
    <w:rsid w:val="001B1DE5"/>
    <w:rsid w:val="001B22B8"/>
    <w:rsid w:val="001B23AB"/>
    <w:rsid w:val="001B2459"/>
    <w:rsid w:val="001B25DF"/>
    <w:rsid w:val="001B2E02"/>
    <w:rsid w:val="001B2EFB"/>
    <w:rsid w:val="001B3721"/>
    <w:rsid w:val="001B3907"/>
    <w:rsid w:val="001B39B9"/>
    <w:rsid w:val="001B3ACE"/>
    <w:rsid w:val="001B46E9"/>
    <w:rsid w:val="001B4814"/>
    <w:rsid w:val="001B4884"/>
    <w:rsid w:val="001B4A66"/>
    <w:rsid w:val="001B4D38"/>
    <w:rsid w:val="001B5761"/>
    <w:rsid w:val="001B58E6"/>
    <w:rsid w:val="001B5978"/>
    <w:rsid w:val="001B5EC6"/>
    <w:rsid w:val="001B5F6F"/>
    <w:rsid w:val="001B62E9"/>
    <w:rsid w:val="001B6794"/>
    <w:rsid w:val="001B6A3F"/>
    <w:rsid w:val="001B6C9C"/>
    <w:rsid w:val="001B6CCB"/>
    <w:rsid w:val="001B6FBC"/>
    <w:rsid w:val="001B738C"/>
    <w:rsid w:val="001B7525"/>
    <w:rsid w:val="001C0069"/>
    <w:rsid w:val="001C026F"/>
    <w:rsid w:val="001C028B"/>
    <w:rsid w:val="001C04B1"/>
    <w:rsid w:val="001C088F"/>
    <w:rsid w:val="001C1034"/>
    <w:rsid w:val="001C1358"/>
    <w:rsid w:val="001C16B7"/>
    <w:rsid w:val="001C16F9"/>
    <w:rsid w:val="001C1B4C"/>
    <w:rsid w:val="001C216A"/>
    <w:rsid w:val="001C2C4F"/>
    <w:rsid w:val="001C2C96"/>
    <w:rsid w:val="001C3341"/>
    <w:rsid w:val="001C3DEB"/>
    <w:rsid w:val="001C4A08"/>
    <w:rsid w:val="001C534E"/>
    <w:rsid w:val="001C54C3"/>
    <w:rsid w:val="001C5EBF"/>
    <w:rsid w:val="001C5F0E"/>
    <w:rsid w:val="001C60EE"/>
    <w:rsid w:val="001C7D93"/>
    <w:rsid w:val="001D000E"/>
    <w:rsid w:val="001D03FE"/>
    <w:rsid w:val="001D0526"/>
    <w:rsid w:val="001D05D2"/>
    <w:rsid w:val="001D0B22"/>
    <w:rsid w:val="001D1453"/>
    <w:rsid w:val="001D18C1"/>
    <w:rsid w:val="001D272F"/>
    <w:rsid w:val="001D282C"/>
    <w:rsid w:val="001D28E5"/>
    <w:rsid w:val="001D2A58"/>
    <w:rsid w:val="001D2F78"/>
    <w:rsid w:val="001D3067"/>
    <w:rsid w:val="001D3369"/>
    <w:rsid w:val="001D3839"/>
    <w:rsid w:val="001D38A1"/>
    <w:rsid w:val="001D3BB9"/>
    <w:rsid w:val="001D3CC9"/>
    <w:rsid w:val="001D3EAA"/>
    <w:rsid w:val="001D3FB0"/>
    <w:rsid w:val="001D4052"/>
    <w:rsid w:val="001D43F4"/>
    <w:rsid w:val="001D4431"/>
    <w:rsid w:val="001D4786"/>
    <w:rsid w:val="001D5032"/>
    <w:rsid w:val="001D575A"/>
    <w:rsid w:val="001D5954"/>
    <w:rsid w:val="001D5D0E"/>
    <w:rsid w:val="001D615A"/>
    <w:rsid w:val="001D62EA"/>
    <w:rsid w:val="001D687A"/>
    <w:rsid w:val="001D68F0"/>
    <w:rsid w:val="001D6AA2"/>
    <w:rsid w:val="001D6EAC"/>
    <w:rsid w:val="001D7AB5"/>
    <w:rsid w:val="001D7F74"/>
    <w:rsid w:val="001E0400"/>
    <w:rsid w:val="001E04E1"/>
    <w:rsid w:val="001E0932"/>
    <w:rsid w:val="001E0EC6"/>
    <w:rsid w:val="001E1188"/>
    <w:rsid w:val="001E19A9"/>
    <w:rsid w:val="001E1FB7"/>
    <w:rsid w:val="001E2393"/>
    <w:rsid w:val="001E272D"/>
    <w:rsid w:val="001E284B"/>
    <w:rsid w:val="001E2917"/>
    <w:rsid w:val="001E3661"/>
    <w:rsid w:val="001E409D"/>
    <w:rsid w:val="001E4329"/>
    <w:rsid w:val="001E44B6"/>
    <w:rsid w:val="001E46D7"/>
    <w:rsid w:val="001E486A"/>
    <w:rsid w:val="001E4C62"/>
    <w:rsid w:val="001E4FE3"/>
    <w:rsid w:val="001E516F"/>
    <w:rsid w:val="001E52AF"/>
    <w:rsid w:val="001E582F"/>
    <w:rsid w:val="001E58AF"/>
    <w:rsid w:val="001E5A5B"/>
    <w:rsid w:val="001E5A6A"/>
    <w:rsid w:val="001E63D6"/>
    <w:rsid w:val="001E6AA0"/>
    <w:rsid w:val="001E6FF5"/>
    <w:rsid w:val="001E76DF"/>
    <w:rsid w:val="001F0925"/>
    <w:rsid w:val="001F0A1A"/>
    <w:rsid w:val="001F0C47"/>
    <w:rsid w:val="001F0DB0"/>
    <w:rsid w:val="001F0E89"/>
    <w:rsid w:val="001F0FBD"/>
    <w:rsid w:val="001F1396"/>
    <w:rsid w:val="001F1520"/>
    <w:rsid w:val="001F1EC3"/>
    <w:rsid w:val="001F2659"/>
    <w:rsid w:val="001F2E65"/>
    <w:rsid w:val="001F349F"/>
    <w:rsid w:val="001F34E0"/>
    <w:rsid w:val="001F358E"/>
    <w:rsid w:val="001F367A"/>
    <w:rsid w:val="001F44A2"/>
    <w:rsid w:val="001F4F77"/>
    <w:rsid w:val="001F4F95"/>
    <w:rsid w:val="001F5079"/>
    <w:rsid w:val="001F51F3"/>
    <w:rsid w:val="001F53E6"/>
    <w:rsid w:val="001F55DF"/>
    <w:rsid w:val="001F57FA"/>
    <w:rsid w:val="001F5F48"/>
    <w:rsid w:val="001F60A2"/>
    <w:rsid w:val="001F6C50"/>
    <w:rsid w:val="001F74D9"/>
    <w:rsid w:val="001F7A12"/>
    <w:rsid w:val="001F7D56"/>
    <w:rsid w:val="001F7FE2"/>
    <w:rsid w:val="00200435"/>
    <w:rsid w:val="0020084F"/>
    <w:rsid w:val="002009EA"/>
    <w:rsid w:val="00200BC4"/>
    <w:rsid w:val="00200FD2"/>
    <w:rsid w:val="002016F8"/>
    <w:rsid w:val="00201D2E"/>
    <w:rsid w:val="00201E5A"/>
    <w:rsid w:val="00202125"/>
    <w:rsid w:val="002022E2"/>
    <w:rsid w:val="0020232D"/>
    <w:rsid w:val="0020258E"/>
    <w:rsid w:val="0020298B"/>
    <w:rsid w:val="00202D04"/>
    <w:rsid w:val="002031DE"/>
    <w:rsid w:val="002031FD"/>
    <w:rsid w:val="00203503"/>
    <w:rsid w:val="002035B8"/>
    <w:rsid w:val="00203B2D"/>
    <w:rsid w:val="00203CA4"/>
    <w:rsid w:val="00203D91"/>
    <w:rsid w:val="002041EA"/>
    <w:rsid w:val="00204364"/>
    <w:rsid w:val="0020437A"/>
    <w:rsid w:val="0020481F"/>
    <w:rsid w:val="00204D04"/>
    <w:rsid w:val="002051E0"/>
    <w:rsid w:val="0020532B"/>
    <w:rsid w:val="00205A21"/>
    <w:rsid w:val="00205B39"/>
    <w:rsid w:val="00205B7B"/>
    <w:rsid w:val="00205D6A"/>
    <w:rsid w:val="00205E7A"/>
    <w:rsid w:val="0020652D"/>
    <w:rsid w:val="0020654A"/>
    <w:rsid w:val="00206657"/>
    <w:rsid w:val="0020668C"/>
    <w:rsid w:val="002069CB"/>
    <w:rsid w:val="00206E43"/>
    <w:rsid w:val="00206E5C"/>
    <w:rsid w:val="00206F81"/>
    <w:rsid w:val="00207316"/>
    <w:rsid w:val="0020738A"/>
    <w:rsid w:val="00207551"/>
    <w:rsid w:val="00207616"/>
    <w:rsid w:val="00207B8A"/>
    <w:rsid w:val="00210708"/>
    <w:rsid w:val="00210B50"/>
    <w:rsid w:val="00211422"/>
    <w:rsid w:val="00211710"/>
    <w:rsid w:val="0021172C"/>
    <w:rsid w:val="0021173B"/>
    <w:rsid w:val="002118E2"/>
    <w:rsid w:val="00211DCC"/>
    <w:rsid w:val="00211E88"/>
    <w:rsid w:val="00212007"/>
    <w:rsid w:val="0021234C"/>
    <w:rsid w:val="0021275F"/>
    <w:rsid w:val="002127F6"/>
    <w:rsid w:val="00212833"/>
    <w:rsid w:val="002129F0"/>
    <w:rsid w:val="00212A1E"/>
    <w:rsid w:val="00212C85"/>
    <w:rsid w:val="00212D3D"/>
    <w:rsid w:val="00212F4E"/>
    <w:rsid w:val="00213888"/>
    <w:rsid w:val="00213CB9"/>
    <w:rsid w:val="0021403B"/>
    <w:rsid w:val="0021433F"/>
    <w:rsid w:val="002149AC"/>
    <w:rsid w:val="00214DF0"/>
    <w:rsid w:val="00215769"/>
    <w:rsid w:val="002157B1"/>
    <w:rsid w:val="00215991"/>
    <w:rsid w:val="00215B0C"/>
    <w:rsid w:val="00215FA8"/>
    <w:rsid w:val="00216122"/>
    <w:rsid w:val="00216959"/>
    <w:rsid w:val="00216B41"/>
    <w:rsid w:val="00216DB5"/>
    <w:rsid w:val="00216F9E"/>
    <w:rsid w:val="002173B6"/>
    <w:rsid w:val="00220053"/>
    <w:rsid w:val="002202F8"/>
    <w:rsid w:val="00220410"/>
    <w:rsid w:val="002208AE"/>
    <w:rsid w:val="002209FB"/>
    <w:rsid w:val="00220B3A"/>
    <w:rsid w:val="00220C41"/>
    <w:rsid w:val="00221023"/>
    <w:rsid w:val="00221460"/>
    <w:rsid w:val="00221536"/>
    <w:rsid w:val="0022156E"/>
    <w:rsid w:val="00221712"/>
    <w:rsid w:val="00222A2A"/>
    <w:rsid w:val="00222AD2"/>
    <w:rsid w:val="00223D51"/>
    <w:rsid w:val="002245FE"/>
    <w:rsid w:val="0022487C"/>
    <w:rsid w:val="00225098"/>
    <w:rsid w:val="00225181"/>
    <w:rsid w:val="00225E97"/>
    <w:rsid w:val="00227F54"/>
    <w:rsid w:val="0023016B"/>
    <w:rsid w:val="00230D24"/>
    <w:rsid w:val="002316C7"/>
    <w:rsid w:val="00231AE1"/>
    <w:rsid w:val="00231EEA"/>
    <w:rsid w:val="00231F68"/>
    <w:rsid w:val="0023212A"/>
    <w:rsid w:val="00232B94"/>
    <w:rsid w:val="00233473"/>
    <w:rsid w:val="00233B36"/>
    <w:rsid w:val="00234482"/>
    <w:rsid w:val="00234855"/>
    <w:rsid w:val="00234E25"/>
    <w:rsid w:val="00235165"/>
    <w:rsid w:val="002353B7"/>
    <w:rsid w:val="0023593B"/>
    <w:rsid w:val="002359F8"/>
    <w:rsid w:val="00235D6C"/>
    <w:rsid w:val="002362E6"/>
    <w:rsid w:val="002362EB"/>
    <w:rsid w:val="0023634F"/>
    <w:rsid w:val="00236751"/>
    <w:rsid w:val="002370B1"/>
    <w:rsid w:val="00237135"/>
    <w:rsid w:val="00237C07"/>
    <w:rsid w:val="00240349"/>
    <w:rsid w:val="002404CC"/>
    <w:rsid w:val="00240807"/>
    <w:rsid w:val="00240990"/>
    <w:rsid w:val="00241289"/>
    <w:rsid w:val="00241C69"/>
    <w:rsid w:val="00241F8D"/>
    <w:rsid w:val="002420B1"/>
    <w:rsid w:val="00242165"/>
    <w:rsid w:val="00242396"/>
    <w:rsid w:val="0024297D"/>
    <w:rsid w:val="002429BB"/>
    <w:rsid w:val="00242F62"/>
    <w:rsid w:val="00243247"/>
    <w:rsid w:val="002434BE"/>
    <w:rsid w:val="002435D6"/>
    <w:rsid w:val="00243681"/>
    <w:rsid w:val="002437E8"/>
    <w:rsid w:val="00243F2F"/>
    <w:rsid w:val="00243FD5"/>
    <w:rsid w:val="002446DF"/>
    <w:rsid w:val="002448F0"/>
    <w:rsid w:val="002454F4"/>
    <w:rsid w:val="00245763"/>
    <w:rsid w:val="00245A6C"/>
    <w:rsid w:val="00245F38"/>
    <w:rsid w:val="00245F76"/>
    <w:rsid w:val="002466AE"/>
    <w:rsid w:val="00246AD1"/>
    <w:rsid w:val="00247968"/>
    <w:rsid w:val="00247DF2"/>
    <w:rsid w:val="00247F52"/>
    <w:rsid w:val="00250572"/>
    <w:rsid w:val="00251089"/>
    <w:rsid w:val="0025150E"/>
    <w:rsid w:val="00251AAE"/>
    <w:rsid w:val="00251CA8"/>
    <w:rsid w:val="00251E90"/>
    <w:rsid w:val="002525FA"/>
    <w:rsid w:val="002526B9"/>
    <w:rsid w:val="002526DB"/>
    <w:rsid w:val="00252BD8"/>
    <w:rsid w:val="00253D66"/>
    <w:rsid w:val="00253F60"/>
    <w:rsid w:val="00254E4E"/>
    <w:rsid w:val="002553E6"/>
    <w:rsid w:val="0025542F"/>
    <w:rsid w:val="0025557A"/>
    <w:rsid w:val="0025574C"/>
    <w:rsid w:val="00255990"/>
    <w:rsid w:val="00255B30"/>
    <w:rsid w:val="00255C1C"/>
    <w:rsid w:val="00255E50"/>
    <w:rsid w:val="002567B9"/>
    <w:rsid w:val="00257C4C"/>
    <w:rsid w:val="00257ECA"/>
    <w:rsid w:val="00257FE2"/>
    <w:rsid w:val="00260738"/>
    <w:rsid w:val="00260837"/>
    <w:rsid w:val="0026098D"/>
    <w:rsid w:val="00260E04"/>
    <w:rsid w:val="002614CD"/>
    <w:rsid w:val="00261557"/>
    <w:rsid w:val="00261CE9"/>
    <w:rsid w:val="0026210F"/>
    <w:rsid w:val="0026231B"/>
    <w:rsid w:val="0026248C"/>
    <w:rsid w:val="00262E3E"/>
    <w:rsid w:val="00263373"/>
    <w:rsid w:val="0026342F"/>
    <w:rsid w:val="0026358C"/>
    <w:rsid w:val="002639A7"/>
    <w:rsid w:val="00263C1A"/>
    <w:rsid w:val="00263CDF"/>
    <w:rsid w:val="002641CC"/>
    <w:rsid w:val="00264869"/>
    <w:rsid w:val="00264982"/>
    <w:rsid w:val="002653BD"/>
    <w:rsid w:val="00266462"/>
    <w:rsid w:val="00266A12"/>
    <w:rsid w:val="00267622"/>
    <w:rsid w:val="002678F8"/>
    <w:rsid w:val="00267D6D"/>
    <w:rsid w:val="00267E53"/>
    <w:rsid w:val="00267E65"/>
    <w:rsid w:val="00267FF0"/>
    <w:rsid w:val="00270198"/>
    <w:rsid w:val="00270456"/>
    <w:rsid w:val="00270820"/>
    <w:rsid w:val="00270C8D"/>
    <w:rsid w:val="00271236"/>
    <w:rsid w:val="00271C16"/>
    <w:rsid w:val="00271FA8"/>
    <w:rsid w:val="00272D6F"/>
    <w:rsid w:val="00273000"/>
    <w:rsid w:val="0027304C"/>
    <w:rsid w:val="00273390"/>
    <w:rsid w:val="00273777"/>
    <w:rsid w:val="00273840"/>
    <w:rsid w:val="00273A8D"/>
    <w:rsid w:val="00273D02"/>
    <w:rsid w:val="00273DFF"/>
    <w:rsid w:val="00273FF6"/>
    <w:rsid w:val="0027405A"/>
    <w:rsid w:val="0027434A"/>
    <w:rsid w:val="002744B4"/>
    <w:rsid w:val="002746BC"/>
    <w:rsid w:val="002748B1"/>
    <w:rsid w:val="002748FE"/>
    <w:rsid w:val="00274D16"/>
    <w:rsid w:val="00274F2A"/>
    <w:rsid w:val="00274F6F"/>
    <w:rsid w:val="002751F2"/>
    <w:rsid w:val="00275255"/>
    <w:rsid w:val="0027549D"/>
    <w:rsid w:val="00275EFB"/>
    <w:rsid w:val="002763BC"/>
    <w:rsid w:val="00276773"/>
    <w:rsid w:val="0027715E"/>
    <w:rsid w:val="00277DE8"/>
    <w:rsid w:val="002806B3"/>
    <w:rsid w:val="00281052"/>
    <w:rsid w:val="002811D1"/>
    <w:rsid w:val="0028137A"/>
    <w:rsid w:val="002814E5"/>
    <w:rsid w:val="00281860"/>
    <w:rsid w:val="002822BE"/>
    <w:rsid w:val="00282746"/>
    <w:rsid w:val="002827F7"/>
    <w:rsid w:val="002828D6"/>
    <w:rsid w:val="00282C0B"/>
    <w:rsid w:val="002839DE"/>
    <w:rsid w:val="002843D6"/>
    <w:rsid w:val="0028498A"/>
    <w:rsid w:val="00284D2B"/>
    <w:rsid w:val="00284DB7"/>
    <w:rsid w:val="002859FF"/>
    <w:rsid w:val="00285F40"/>
    <w:rsid w:val="00286393"/>
    <w:rsid w:val="00286602"/>
    <w:rsid w:val="0028674B"/>
    <w:rsid w:val="00286859"/>
    <w:rsid w:val="00286C4D"/>
    <w:rsid w:val="002871B9"/>
    <w:rsid w:val="002872D8"/>
    <w:rsid w:val="002876F7"/>
    <w:rsid w:val="002877D4"/>
    <w:rsid w:val="002878C5"/>
    <w:rsid w:val="002900EB"/>
    <w:rsid w:val="002908E9"/>
    <w:rsid w:val="00290930"/>
    <w:rsid w:val="00290B2A"/>
    <w:rsid w:val="00291030"/>
    <w:rsid w:val="00291385"/>
    <w:rsid w:val="00291720"/>
    <w:rsid w:val="00291C69"/>
    <w:rsid w:val="00291CE3"/>
    <w:rsid w:val="002926E3"/>
    <w:rsid w:val="00292AE5"/>
    <w:rsid w:val="00292EB2"/>
    <w:rsid w:val="00293595"/>
    <w:rsid w:val="00293ADA"/>
    <w:rsid w:val="00293DB1"/>
    <w:rsid w:val="0029401F"/>
    <w:rsid w:val="002944E5"/>
    <w:rsid w:val="00294611"/>
    <w:rsid w:val="0029470C"/>
    <w:rsid w:val="00294876"/>
    <w:rsid w:val="00294AA3"/>
    <w:rsid w:val="00294C45"/>
    <w:rsid w:val="00295038"/>
    <w:rsid w:val="00295107"/>
    <w:rsid w:val="00295DFD"/>
    <w:rsid w:val="00295E5D"/>
    <w:rsid w:val="0029606B"/>
    <w:rsid w:val="00296815"/>
    <w:rsid w:val="0029699D"/>
    <w:rsid w:val="00296BA7"/>
    <w:rsid w:val="002971C7"/>
    <w:rsid w:val="0029780A"/>
    <w:rsid w:val="00297A5F"/>
    <w:rsid w:val="002A04A3"/>
    <w:rsid w:val="002A119D"/>
    <w:rsid w:val="002A1368"/>
    <w:rsid w:val="002A15B6"/>
    <w:rsid w:val="002A1874"/>
    <w:rsid w:val="002A1D93"/>
    <w:rsid w:val="002A222D"/>
    <w:rsid w:val="002A2690"/>
    <w:rsid w:val="002A2A26"/>
    <w:rsid w:val="002A2AE2"/>
    <w:rsid w:val="002A36CB"/>
    <w:rsid w:val="002A3A26"/>
    <w:rsid w:val="002A3C60"/>
    <w:rsid w:val="002A3CBB"/>
    <w:rsid w:val="002A3CBC"/>
    <w:rsid w:val="002A3E95"/>
    <w:rsid w:val="002A420D"/>
    <w:rsid w:val="002A4D92"/>
    <w:rsid w:val="002A54B2"/>
    <w:rsid w:val="002A55A7"/>
    <w:rsid w:val="002A587F"/>
    <w:rsid w:val="002A59C3"/>
    <w:rsid w:val="002A5D16"/>
    <w:rsid w:val="002A5DD9"/>
    <w:rsid w:val="002A5FB7"/>
    <w:rsid w:val="002A6335"/>
    <w:rsid w:val="002A6AAE"/>
    <w:rsid w:val="002A6B7B"/>
    <w:rsid w:val="002A72C5"/>
    <w:rsid w:val="002A7E2B"/>
    <w:rsid w:val="002B06A7"/>
    <w:rsid w:val="002B0B53"/>
    <w:rsid w:val="002B0F19"/>
    <w:rsid w:val="002B1003"/>
    <w:rsid w:val="002B103C"/>
    <w:rsid w:val="002B1495"/>
    <w:rsid w:val="002B2D70"/>
    <w:rsid w:val="002B4572"/>
    <w:rsid w:val="002B4FA4"/>
    <w:rsid w:val="002B5296"/>
    <w:rsid w:val="002B52D1"/>
    <w:rsid w:val="002B5852"/>
    <w:rsid w:val="002B60BA"/>
    <w:rsid w:val="002B6318"/>
    <w:rsid w:val="002B6987"/>
    <w:rsid w:val="002B75EB"/>
    <w:rsid w:val="002B76AF"/>
    <w:rsid w:val="002B7A18"/>
    <w:rsid w:val="002B7EE7"/>
    <w:rsid w:val="002C0981"/>
    <w:rsid w:val="002C0A82"/>
    <w:rsid w:val="002C10AE"/>
    <w:rsid w:val="002C1355"/>
    <w:rsid w:val="002C1581"/>
    <w:rsid w:val="002C1600"/>
    <w:rsid w:val="002C1F74"/>
    <w:rsid w:val="002C2127"/>
    <w:rsid w:val="002C285A"/>
    <w:rsid w:val="002C29A1"/>
    <w:rsid w:val="002C2C1D"/>
    <w:rsid w:val="002C3325"/>
    <w:rsid w:val="002C3852"/>
    <w:rsid w:val="002C388A"/>
    <w:rsid w:val="002C4093"/>
    <w:rsid w:val="002C41D5"/>
    <w:rsid w:val="002C4577"/>
    <w:rsid w:val="002C4B0C"/>
    <w:rsid w:val="002C4E3D"/>
    <w:rsid w:val="002C4F2A"/>
    <w:rsid w:val="002C5128"/>
    <w:rsid w:val="002C53F1"/>
    <w:rsid w:val="002C5C00"/>
    <w:rsid w:val="002C5F3E"/>
    <w:rsid w:val="002C63F4"/>
    <w:rsid w:val="002C6473"/>
    <w:rsid w:val="002C676D"/>
    <w:rsid w:val="002C686E"/>
    <w:rsid w:val="002C6A6F"/>
    <w:rsid w:val="002C6A86"/>
    <w:rsid w:val="002C6C46"/>
    <w:rsid w:val="002C6D5E"/>
    <w:rsid w:val="002C6E3E"/>
    <w:rsid w:val="002C7107"/>
    <w:rsid w:val="002C76FF"/>
    <w:rsid w:val="002C7CD6"/>
    <w:rsid w:val="002C7E16"/>
    <w:rsid w:val="002D00F7"/>
    <w:rsid w:val="002D0933"/>
    <w:rsid w:val="002D0A69"/>
    <w:rsid w:val="002D0DCC"/>
    <w:rsid w:val="002D11F4"/>
    <w:rsid w:val="002D12EA"/>
    <w:rsid w:val="002D1406"/>
    <w:rsid w:val="002D19E5"/>
    <w:rsid w:val="002D1A5C"/>
    <w:rsid w:val="002D1D03"/>
    <w:rsid w:val="002D1E4E"/>
    <w:rsid w:val="002D26B8"/>
    <w:rsid w:val="002D2E92"/>
    <w:rsid w:val="002D35D8"/>
    <w:rsid w:val="002D37E7"/>
    <w:rsid w:val="002D423B"/>
    <w:rsid w:val="002D4552"/>
    <w:rsid w:val="002D5000"/>
    <w:rsid w:val="002D5203"/>
    <w:rsid w:val="002D5247"/>
    <w:rsid w:val="002D560C"/>
    <w:rsid w:val="002D5730"/>
    <w:rsid w:val="002D5CCC"/>
    <w:rsid w:val="002D61B8"/>
    <w:rsid w:val="002D64F9"/>
    <w:rsid w:val="002D6B6F"/>
    <w:rsid w:val="002D73A6"/>
    <w:rsid w:val="002D73BB"/>
    <w:rsid w:val="002D7641"/>
    <w:rsid w:val="002D7FDF"/>
    <w:rsid w:val="002E0113"/>
    <w:rsid w:val="002E0491"/>
    <w:rsid w:val="002E0FF7"/>
    <w:rsid w:val="002E159A"/>
    <w:rsid w:val="002E1B57"/>
    <w:rsid w:val="002E1BD6"/>
    <w:rsid w:val="002E2013"/>
    <w:rsid w:val="002E26A5"/>
    <w:rsid w:val="002E2DAB"/>
    <w:rsid w:val="002E33BC"/>
    <w:rsid w:val="002E3A95"/>
    <w:rsid w:val="002E3C8D"/>
    <w:rsid w:val="002E3E73"/>
    <w:rsid w:val="002E42F2"/>
    <w:rsid w:val="002E434F"/>
    <w:rsid w:val="002E443E"/>
    <w:rsid w:val="002E4792"/>
    <w:rsid w:val="002E49FC"/>
    <w:rsid w:val="002E53C5"/>
    <w:rsid w:val="002E5780"/>
    <w:rsid w:val="002E5D69"/>
    <w:rsid w:val="002E638A"/>
    <w:rsid w:val="002E6C46"/>
    <w:rsid w:val="002E6F29"/>
    <w:rsid w:val="002E72A8"/>
    <w:rsid w:val="002E75BB"/>
    <w:rsid w:val="002E77C7"/>
    <w:rsid w:val="002E7F7E"/>
    <w:rsid w:val="002F0063"/>
    <w:rsid w:val="002F00F2"/>
    <w:rsid w:val="002F0CD8"/>
    <w:rsid w:val="002F12D5"/>
    <w:rsid w:val="002F15F1"/>
    <w:rsid w:val="002F1B41"/>
    <w:rsid w:val="002F1F2F"/>
    <w:rsid w:val="002F1F76"/>
    <w:rsid w:val="002F22EC"/>
    <w:rsid w:val="002F2318"/>
    <w:rsid w:val="002F2586"/>
    <w:rsid w:val="002F2A8C"/>
    <w:rsid w:val="002F2F5A"/>
    <w:rsid w:val="002F2FFA"/>
    <w:rsid w:val="002F3449"/>
    <w:rsid w:val="002F4454"/>
    <w:rsid w:val="002F4BC2"/>
    <w:rsid w:val="002F4C20"/>
    <w:rsid w:val="002F5086"/>
    <w:rsid w:val="002F51A9"/>
    <w:rsid w:val="002F5B13"/>
    <w:rsid w:val="002F5B5B"/>
    <w:rsid w:val="002F5EDD"/>
    <w:rsid w:val="002F6581"/>
    <w:rsid w:val="002F71D1"/>
    <w:rsid w:val="002F7913"/>
    <w:rsid w:val="003004CC"/>
    <w:rsid w:val="003005F1"/>
    <w:rsid w:val="003015AA"/>
    <w:rsid w:val="003018F5"/>
    <w:rsid w:val="00301DD5"/>
    <w:rsid w:val="003024AF"/>
    <w:rsid w:val="0030270A"/>
    <w:rsid w:val="00302851"/>
    <w:rsid w:val="00302D37"/>
    <w:rsid w:val="00303FFA"/>
    <w:rsid w:val="00304241"/>
    <w:rsid w:val="0030450F"/>
    <w:rsid w:val="00304D9A"/>
    <w:rsid w:val="003050B7"/>
    <w:rsid w:val="003050CD"/>
    <w:rsid w:val="00305806"/>
    <w:rsid w:val="003058F2"/>
    <w:rsid w:val="0030633A"/>
    <w:rsid w:val="00306456"/>
    <w:rsid w:val="003071DE"/>
    <w:rsid w:val="00307D74"/>
    <w:rsid w:val="0031043B"/>
    <w:rsid w:val="003113A4"/>
    <w:rsid w:val="003114FE"/>
    <w:rsid w:val="003115D0"/>
    <w:rsid w:val="003119FE"/>
    <w:rsid w:val="00311BED"/>
    <w:rsid w:val="00311CC6"/>
    <w:rsid w:val="00311F05"/>
    <w:rsid w:val="003120D4"/>
    <w:rsid w:val="00312471"/>
    <w:rsid w:val="00312748"/>
    <w:rsid w:val="0031278B"/>
    <w:rsid w:val="003128E1"/>
    <w:rsid w:val="0031310B"/>
    <w:rsid w:val="0031347B"/>
    <w:rsid w:val="003134BE"/>
    <w:rsid w:val="00313E0D"/>
    <w:rsid w:val="003141AF"/>
    <w:rsid w:val="003145A1"/>
    <w:rsid w:val="003147A8"/>
    <w:rsid w:val="00314BFE"/>
    <w:rsid w:val="00314C76"/>
    <w:rsid w:val="00314E34"/>
    <w:rsid w:val="003151A1"/>
    <w:rsid w:val="00315A1A"/>
    <w:rsid w:val="00315BF8"/>
    <w:rsid w:val="00315D00"/>
    <w:rsid w:val="00315D8F"/>
    <w:rsid w:val="00316197"/>
    <w:rsid w:val="00316449"/>
    <w:rsid w:val="00316522"/>
    <w:rsid w:val="00316A84"/>
    <w:rsid w:val="00316BEE"/>
    <w:rsid w:val="00316D41"/>
    <w:rsid w:val="00316EC9"/>
    <w:rsid w:val="00317131"/>
    <w:rsid w:val="0031795C"/>
    <w:rsid w:val="00317AE9"/>
    <w:rsid w:val="00317C9D"/>
    <w:rsid w:val="00317EE2"/>
    <w:rsid w:val="00320242"/>
    <w:rsid w:val="0032085C"/>
    <w:rsid w:val="003208B2"/>
    <w:rsid w:val="00320911"/>
    <w:rsid w:val="00320A55"/>
    <w:rsid w:val="00320B47"/>
    <w:rsid w:val="00320FFC"/>
    <w:rsid w:val="00321109"/>
    <w:rsid w:val="0032186A"/>
    <w:rsid w:val="00321882"/>
    <w:rsid w:val="00321D77"/>
    <w:rsid w:val="003221C3"/>
    <w:rsid w:val="003226A6"/>
    <w:rsid w:val="00322872"/>
    <w:rsid w:val="0032303E"/>
    <w:rsid w:val="00323433"/>
    <w:rsid w:val="00323A81"/>
    <w:rsid w:val="00323C88"/>
    <w:rsid w:val="00323FC2"/>
    <w:rsid w:val="003242E5"/>
    <w:rsid w:val="00324DA0"/>
    <w:rsid w:val="0032507E"/>
    <w:rsid w:val="0032554D"/>
    <w:rsid w:val="00325B68"/>
    <w:rsid w:val="00325E8C"/>
    <w:rsid w:val="00325FF4"/>
    <w:rsid w:val="00326260"/>
    <w:rsid w:val="00326608"/>
    <w:rsid w:val="00326CF5"/>
    <w:rsid w:val="00326F4E"/>
    <w:rsid w:val="0032719E"/>
    <w:rsid w:val="00327ABB"/>
    <w:rsid w:val="0033004E"/>
    <w:rsid w:val="003300B5"/>
    <w:rsid w:val="003300E4"/>
    <w:rsid w:val="0033013C"/>
    <w:rsid w:val="0033016A"/>
    <w:rsid w:val="003303E1"/>
    <w:rsid w:val="00330A0F"/>
    <w:rsid w:val="00330DB3"/>
    <w:rsid w:val="0033146E"/>
    <w:rsid w:val="003315D3"/>
    <w:rsid w:val="00331826"/>
    <w:rsid w:val="00331AE9"/>
    <w:rsid w:val="00332206"/>
    <w:rsid w:val="003324F8"/>
    <w:rsid w:val="003328A3"/>
    <w:rsid w:val="00333448"/>
    <w:rsid w:val="003335A1"/>
    <w:rsid w:val="003339A0"/>
    <w:rsid w:val="0033455F"/>
    <w:rsid w:val="00334751"/>
    <w:rsid w:val="003349A4"/>
    <w:rsid w:val="00334B6B"/>
    <w:rsid w:val="00334CB7"/>
    <w:rsid w:val="00334CC5"/>
    <w:rsid w:val="00335738"/>
    <w:rsid w:val="00335A4B"/>
    <w:rsid w:val="00335AA4"/>
    <w:rsid w:val="00335BA6"/>
    <w:rsid w:val="00335C90"/>
    <w:rsid w:val="003363B9"/>
    <w:rsid w:val="00336806"/>
    <w:rsid w:val="00336A2D"/>
    <w:rsid w:val="003371CF"/>
    <w:rsid w:val="0033731A"/>
    <w:rsid w:val="0033745D"/>
    <w:rsid w:val="00337B77"/>
    <w:rsid w:val="00337C35"/>
    <w:rsid w:val="00337FD5"/>
    <w:rsid w:val="003402BA"/>
    <w:rsid w:val="00340320"/>
    <w:rsid w:val="00340C99"/>
    <w:rsid w:val="0034167E"/>
    <w:rsid w:val="00341691"/>
    <w:rsid w:val="0034223E"/>
    <w:rsid w:val="00343AA7"/>
    <w:rsid w:val="0034410D"/>
    <w:rsid w:val="0034429E"/>
    <w:rsid w:val="00344381"/>
    <w:rsid w:val="003444CF"/>
    <w:rsid w:val="00344832"/>
    <w:rsid w:val="003449EA"/>
    <w:rsid w:val="00344FD5"/>
    <w:rsid w:val="00344FF3"/>
    <w:rsid w:val="00345941"/>
    <w:rsid w:val="00345EB5"/>
    <w:rsid w:val="003462CA"/>
    <w:rsid w:val="0034680B"/>
    <w:rsid w:val="003469BF"/>
    <w:rsid w:val="00346AC8"/>
    <w:rsid w:val="00346BEF"/>
    <w:rsid w:val="003473AD"/>
    <w:rsid w:val="00347A9A"/>
    <w:rsid w:val="00347BFB"/>
    <w:rsid w:val="003501C0"/>
    <w:rsid w:val="00350648"/>
    <w:rsid w:val="003507E7"/>
    <w:rsid w:val="00350860"/>
    <w:rsid w:val="00350C07"/>
    <w:rsid w:val="00351088"/>
    <w:rsid w:val="00351927"/>
    <w:rsid w:val="00351C6B"/>
    <w:rsid w:val="0035215A"/>
    <w:rsid w:val="0035244A"/>
    <w:rsid w:val="003524E5"/>
    <w:rsid w:val="00352624"/>
    <w:rsid w:val="00352D9A"/>
    <w:rsid w:val="00352DAE"/>
    <w:rsid w:val="00353012"/>
    <w:rsid w:val="003533B2"/>
    <w:rsid w:val="00353599"/>
    <w:rsid w:val="00353B83"/>
    <w:rsid w:val="00353C67"/>
    <w:rsid w:val="00353EE1"/>
    <w:rsid w:val="003542A4"/>
    <w:rsid w:val="00354916"/>
    <w:rsid w:val="00354ED3"/>
    <w:rsid w:val="00354FDB"/>
    <w:rsid w:val="0035589D"/>
    <w:rsid w:val="00355BDB"/>
    <w:rsid w:val="00355F20"/>
    <w:rsid w:val="00356018"/>
    <w:rsid w:val="0035602B"/>
    <w:rsid w:val="003564FA"/>
    <w:rsid w:val="00356EC9"/>
    <w:rsid w:val="00357887"/>
    <w:rsid w:val="00360E12"/>
    <w:rsid w:val="00361556"/>
    <w:rsid w:val="003619C1"/>
    <w:rsid w:val="00361A2B"/>
    <w:rsid w:val="0036236F"/>
    <w:rsid w:val="00362758"/>
    <w:rsid w:val="00362D18"/>
    <w:rsid w:val="00363829"/>
    <w:rsid w:val="00363AA4"/>
    <w:rsid w:val="00363B5A"/>
    <w:rsid w:val="00363F02"/>
    <w:rsid w:val="00364368"/>
    <w:rsid w:val="003646E3"/>
    <w:rsid w:val="003647D3"/>
    <w:rsid w:val="00364E65"/>
    <w:rsid w:val="0036599C"/>
    <w:rsid w:val="00365BBB"/>
    <w:rsid w:val="00365DCD"/>
    <w:rsid w:val="00366279"/>
    <w:rsid w:val="00366AE4"/>
    <w:rsid w:val="00366DD7"/>
    <w:rsid w:val="00366EB0"/>
    <w:rsid w:val="00367131"/>
    <w:rsid w:val="0036730B"/>
    <w:rsid w:val="00367B51"/>
    <w:rsid w:val="0037035B"/>
    <w:rsid w:val="0037038F"/>
    <w:rsid w:val="00370424"/>
    <w:rsid w:val="00370436"/>
    <w:rsid w:val="00370942"/>
    <w:rsid w:val="00371271"/>
    <w:rsid w:val="003713E3"/>
    <w:rsid w:val="00371D5A"/>
    <w:rsid w:val="003727D7"/>
    <w:rsid w:val="00373298"/>
    <w:rsid w:val="00373A31"/>
    <w:rsid w:val="0037469E"/>
    <w:rsid w:val="00374737"/>
    <w:rsid w:val="00374B13"/>
    <w:rsid w:val="00374B77"/>
    <w:rsid w:val="00374BC1"/>
    <w:rsid w:val="003755AB"/>
    <w:rsid w:val="00375935"/>
    <w:rsid w:val="00375C05"/>
    <w:rsid w:val="00375F46"/>
    <w:rsid w:val="003769AE"/>
    <w:rsid w:val="003769E6"/>
    <w:rsid w:val="00376CA2"/>
    <w:rsid w:val="00377267"/>
    <w:rsid w:val="003778E6"/>
    <w:rsid w:val="00377947"/>
    <w:rsid w:val="00377A57"/>
    <w:rsid w:val="00377DCC"/>
    <w:rsid w:val="003801C0"/>
    <w:rsid w:val="0038059A"/>
    <w:rsid w:val="00380A27"/>
    <w:rsid w:val="00380A7E"/>
    <w:rsid w:val="0038103A"/>
    <w:rsid w:val="00381E76"/>
    <w:rsid w:val="00382083"/>
    <w:rsid w:val="003820B7"/>
    <w:rsid w:val="0038221D"/>
    <w:rsid w:val="00382455"/>
    <w:rsid w:val="00382686"/>
    <w:rsid w:val="003829D7"/>
    <w:rsid w:val="003832D4"/>
    <w:rsid w:val="00383839"/>
    <w:rsid w:val="0038388A"/>
    <w:rsid w:val="00383AF8"/>
    <w:rsid w:val="00383D30"/>
    <w:rsid w:val="00383D6F"/>
    <w:rsid w:val="00383ECA"/>
    <w:rsid w:val="00383FEF"/>
    <w:rsid w:val="003845B8"/>
    <w:rsid w:val="00384848"/>
    <w:rsid w:val="0038526F"/>
    <w:rsid w:val="003856D9"/>
    <w:rsid w:val="00385907"/>
    <w:rsid w:val="00385B14"/>
    <w:rsid w:val="00385B2E"/>
    <w:rsid w:val="003864AA"/>
    <w:rsid w:val="003864DF"/>
    <w:rsid w:val="00386A6E"/>
    <w:rsid w:val="0038713E"/>
    <w:rsid w:val="00387380"/>
    <w:rsid w:val="003874AF"/>
    <w:rsid w:val="00387F0D"/>
    <w:rsid w:val="0039020E"/>
    <w:rsid w:val="0039068E"/>
    <w:rsid w:val="00390EE7"/>
    <w:rsid w:val="00390FF8"/>
    <w:rsid w:val="00391B75"/>
    <w:rsid w:val="00391C91"/>
    <w:rsid w:val="00392A4F"/>
    <w:rsid w:val="00392B34"/>
    <w:rsid w:val="00392B4F"/>
    <w:rsid w:val="00392BA0"/>
    <w:rsid w:val="003930AE"/>
    <w:rsid w:val="00393535"/>
    <w:rsid w:val="003941C4"/>
    <w:rsid w:val="00394802"/>
    <w:rsid w:val="00394A39"/>
    <w:rsid w:val="00394E24"/>
    <w:rsid w:val="00395359"/>
    <w:rsid w:val="0039562A"/>
    <w:rsid w:val="003959A2"/>
    <w:rsid w:val="00395AF7"/>
    <w:rsid w:val="00395CC6"/>
    <w:rsid w:val="0039636E"/>
    <w:rsid w:val="00396669"/>
    <w:rsid w:val="00396850"/>
    <w:rsid w:val="003971B6"/>
    <w:rsid w:val="00397CC0"/>
    <w:rsid w:val="003A0233"/>
    <w:rsid w:val="003A0547"/>
    <w:rsid w:val="003A0877"/>
    <w:rsid w:val="003A0A90"/>
    <w:rsid w:val="003A11A1"/>
    <w:rsid w:val="003A1335"/>
    <w:rsid w:val="003A136C"/>
    <w:rsid w:val="003A181F"/>
    <w:rsid w:val="003A1EB8"/>
    <w:rsid w:val="003A2231"/>
    <w:rsid w:val="003A2F8C"/>
    <w:rsid w:val="003A302A"/>
    <w:rsid w:val="003A39D5"/>
    <w:rsid w:val="003A39DE"/>
    <w:rsid w:val="003A3AF1"/>
    <w:rsid w:val="003A3E3B"/>
    <w:rsid w:val="003A4053"/>
    <w:rsid w:val="003A44E1"/>
    <w:rsid w:val="003A49DF"/>
    <w:rsid w:val="003A4A86"/>
    <w:rsid w:val="003A4B69"/>
    <w:rsid w:val="003A4F6A"/>
    <w:rsid w:val="003A516B"/>
    <w:rsid w:val="003A51CA"/>
    <w:rsid w:val="003A7039"/>
    <w:rsid w:val="003A7513"/>
    <w:rsid w:val="003A778A"/>
    <w:rsid w:val="003A781B"/>
    <w:rsid w:val="003A7B88"/>
    <w:rsid w:val="003B0315"/>
    <w:rsid w:val="003B038A"/>
    <w:rsid w:val="003B103B"/>
    <w:rsid w:val="003B1657"/>
    <w:rsid w:val="003B1672"/>
    <w:rsid w:val="003B1863"/>
    <w:rsid w:val="003B1EC1"/>
    <w:rsid w:val="003B2427"/>
    <w:rsid w:val="003B27FC"/>
    <w:rsid w:val="003B2BD7"/>
    <w:rsid w:val="003B31F0"/>
    <w:rsid w:val="003B3769"/>
    <w:rsid w:val="003B3963"/>
    <w:rsid w:val="003B3BDF"/>
    <w:rsid w:val="003B3DDE"/>
    <w:rsid w:val="003B4969"/>
    <w:rsid w:val="003B4B10"/>
    <w:rsid w:val="003B4F08"/>
    <w:rsid w:val="003B5290"/>
    <w:rsid w:val="003B546E"/>
    <w:rsid w:val="003B55AD"/>
    <w:rsid w:val="003B55D0"/>
    <w:rsid w:val="003B5F3D"/>
    <w:rsid w:val="003B62B3"/>
    <w:rsid w:val="003B64C4"/>
    <w:rsid w:val="003B6773"/>
    <w:rsid w:val="003B6A55"/>
    <w:rsid w:val="003B6A6A"/>
    <w:rsid w:val="003B7120"/>
    <w:rsid w:val="003B7227"/>
    <w:rsid w:val="003B74CD"/>
    <w:rsid w:val="003B7D87"/>
    <w:rsid w:val="003C0B89"/>
    <w:rsid w:val="003C0E3D"/>
    <w:rsid w:val="003C1071"/>
    <w:rsid w:val="003C1228"/>
    <w:rsid w:val="003C1FC7"/>
    <w:rsid w:val="003C231D"/>
    <w:rsid w:val="003C23A0"/>
    <w:rsid w:val="003C2AC7"/>
    <w:rsid w:val="003C2D74"/>
    <w:rsid w:val="003C2E58"/>
    <w:rsid w:val="003C3249"/>
    <w:rsid w:val="003C366C"/>
    <w:rsid w:val="003C3BB8"/>
    <w:rsid w:val="003C3E74"/>
    <w:rsid w:val="003C409D"/>
    <w:rsid w:val="003C4EAC"/>
    <w:rsid w:val="003C4FC1"/>
    <w:rsid w:val="003C53B4"/>
    <w:rsid w:val="003C5406"/>
    <w:rsid w:val="003C5B5C"/>
    <w:rsid w:val="003C5F46"/>
    <w:rsid w:val="003C5F49"/>
    <w:rsid w:val="003C5FF6"/>
    <w:rsid w:val="003C63C7"/>
    <w:rsid w:val="003C6476"/>
    <w:rsid w:val="003C6742"/>
    <w:rsid w:val="003C6D58"/>
    <w:rsid w:val="003C71E2"/>
    <w:rsid w:val="003C75E9"/>
    <w:rsid w:val="003C7D49"/>
    <w:rsid w:val="003D010F"/>
    <w:rsid w:val="003D01A0"/>
    <w:rsid w:val="003D03C7"/>
    <w:rsid w:val="003D0856"/>
    <w:rsid w:val="003D0AAF"/>
    <w:rsid w:val="003D0C73"/>
    <w:rsid w:val="003D121F"/>
    <w:rsid w:val="003D1BD9"/>
    <w:rsid w:val="003D1F98"/>
    <w:rsid w:val="003D2248"/>
    <w:rsid w:val="003D22C3"/>
    <w:rsid w:val="003D2548"/>
    <w:rsid w:val="003D2669"/>
    <w:rsid w:val="003D2F14"/>
    <w:rsid w:val="003D3614"/>
    <w:rsid w:val="003D37F3"/>
    <w:rsid w:val="003D3E7E"/>
    <w:rsid w:val="003D3F67"/>
    <w:rsid w:val="003D4B95"/>
    <w:rsid w:val="003D4DF3"/>
    <w:rsid w:val="003D5221"/>
    <w:rsid w:val="003D53A6"/>
    <w:rsid w:val="003D566A"/>
    <w:rsid w:val="003D5A67"/>
    <w:rsid w:val="003D6BF6"/>
    <w:rsid w:val="003D6D04"/>
    <w:rsid w:val="003D6EE7"/>
    <w:rsid w:val="003D741F"/>
    <w:rsid w:val="003D778A"/>
    <w:rsid w:val="003D7A53"/>
    <w:rsid w:val="003D7CB8"/>
    <w:rsid w:val="003D7DDC"/>
    <w:rsid w:val="003E00DE"/>
    <w:rsid w:val="003E0518"/>
    <w:rsid w:val="003E095A"/>
    <w:rsid w:val="003E09EE"/>
    <w:rsid w:val="003E0BC0"/>
    <w:rsid w:val="003E0C8B"/>
    <w:rsid w:val="003E0E91"/>
    <w:rsid w:val="003E110C"/>
    <w:rsid w:val="003E214E"/>
    <w:rsid w:val="003E21E6"/>
    <w:rsid w:val="003E2F3A"/>
    <w:rsid w:val="003E3F88"/>
    <w:rsid w:val="003E429E"/>
    <w:rsid w:val="003E46F9"/>
    <w:rsid w:val="003E4952"/>
    <w:rsid w:val="003E4967"/>
    <w:rsid w:val="003E4D91"/>
    <w:rsid w:val="003E51F7"/>
    <w:rsid w:val="003E53ED"/>
    <w:rsid w:val="003E5585"/>
    <w:rsid w:val="003E6061"/>
    <w:rsid w:val="003E62FF"/>
    <w:rsid w:val="003E656E"/>
    <w:rsid w:val="003E666F"/>
    <w:rsid w:val="003E6833"/>
    <w:rsid w:val="003E6958"/>
    <w:rsid w:val="003E6DC4"/>
    <w:rsid w:val="003E7110"/>
    <w:rsid w:val="003F03D9"/>
    <w:rsid w:val="003F0786"/>
    <w:rsid w:val="003F0ADE"/>
    <w:rsid w:val="003F0DD1"/>
    <w:rsid w:val="003F0DFE"/>
    <w:rsid w:val="003F0EF9"/>
    <w:rsid w:val="003F0F57"/>
    <w:rsid w:val="003F0F8E"/>
    <w:rsid w:val="003F1108"/>
    <w:rsid w:val="003F1228"/>
    <w:rsid w:val="003F1D0D"/>
    <w:rsid w:val="003F2A44"/>
    <w:rsid w:val="003F2B54"/>
    <w:rsid w:val="003F2B6B"/>
    <w:rsid w:val="003F2C37"/>
    <w:rsid w:val="003F2EEB"/>
    <w:rsid w:val="003F3233"/>
    <w:rsid w:val="003F33D7"/>
    <w:rsid w:val="003F3E4E"/>
    <w:rsid w:val="003F40E2"/>
    <w:rsid w:val="003F46EA"/>
    <w:rsid w:val="003F4DAC"/>
    <w:rsid w:val="003F4EC1"/>
    <w:rsid w:val="003F5819"/>
    <w:rsid w:val="003F5BC7"/>
    <w:rsid w:val="003F5C2B"/>
    <w:rsid w:val="003F5E22"/>
    <w:rsid w:val="003F662C"/>
    <w:rsid w:val="003F6F44"/>
    <w:rsid w:val="003F752D"/>
    <w:rsid w:val="003F7645"/>
    <w:rsid w:val="00400492"/>
    <w:rsid w:val="00400556"/>
    <w:rsid w:val="00401266"/>
    <w:rsid w:val="004017F5"/>
    <w:rsid w:val="0040185B"/>
    <w:rsid w:val="00402BB1"/>
    <w:rsid w:val="00402CCF"/>
    <w:rsid w:val="00404CC1"/>
    <w:rsid w:val="004053F7"/>
    <w:rsid w:val="004054AC"/>
    <w:rsid w:val="0040673C"/>
    <w:rsid w:val="00406795"/>
    <w:rsid w:val="004072A5"/>
    <w:rsid w:val="004078FD"/>
    <w:rsid w:val="004109CD"/>
    <w:rsid w:val="00410CAD"/>
    <w:rsid w:val="00411C4A"/>
    <w:rsid w:val="00411F48"/>
    <w:rsid w:val="00412000"/>
    <w:rsid w:val="004123BA"/>
    <w:rsid w:val="00412AF3"/>
    <w:rsid w:val="00413041"/>
    <w:rsid w:val="00413338"/>
    <w:rsid w:val="0041366A"/>
    <w:rsid w:val="004136B3"/>
    <w:rsid w:val="00413812"/>
    <w:rsid w:val="0041398B"/>
    <w:rsid w:val="00414969"/>
    <w:rsid w:val="004149D9"/>
    <w:rsid w:val="00414A0E"/>
    <w:rsid w:val="00415044"/>
    <w:rsid w:val="0041578D"/>
    <w:rsid w:val="004157B6"/>
    <w:rsid w:val="00415CF8"/>
    <w:rsid w:val="00415EF9"/>
    <w:rsid w:val="004165C3"/>
    <w:rsid w:val="00416B40"/>
    <w:rsid w:val="00416F1D"/>
    <w:rsid w:val="00417002"/>
    <w:rsid w:val="004172A0"/>
    <w:rsid w:val="004177C0"/>
    <w:rsid w:val="00417C95"/>
    <w:rsid w:val="00417D12"/>
    <w:rsid w:val="00417F9E"/>
    <w:rsid w:val="004201D3"/>
    <w:rsid w:val="004201FB"/>
    <w:rsid w:val="00420E88"/>
    <w:rsid w:val="00420F34"/>
    <w:rsid w:val="00421B1B"/>
    <w:rsid w:val="00421C35"/>
    <w:rsid w:val="00422DC6"/>
    <w:rsid w:val="00422FFE"/>
    <w:rsid w:val="0042342B"/>
    <w:rsid w:val="00423F48"/>
    <w:rsid w:val="00424395"/>
    <w:rsid w:val="00424421"/>
    <w:rsid w:val="0042462A"/>
    <w:rsid w:val="00424FFF"/>
    <w:rsid w:val="0042556A"/>
    <w:rsid w:val="00425A20"/>
    <w:rsid w:val="00425B32"/>
    <w:rsid w:val="004266A7"/>
    <w:rsid w:val="004266F8"/>
    <w:rsid w:val="0042682B"/>
    <w:rsid w:val="00427625"/>
    <w:rsid w:val="00427D43"/>
    <w:rsid w:val="00427E6E"/>
    <w:rsid w:val="00430029"/>
    <w:rsid w:val="0043148F"/>
    <w:rsid w:val="004315B2"/>
    <w:rsid w:val="0043180A"/>
    <w:rsid w:val="00431C9D"/>
    <w:rsid w:val="00431CF5"/>
    <w:rsid w:val="00431D24"/>
    <w:rsid w:val="004321BC"/>
    <w:rsid w:val="00432258"/>
    <w:rsid w:val="00432280"/>
    <w:rsid w:val="00432408"/>
    <w:rsid w:val="00432813"/>
    <w:rsid w:val="00432B71"/>
    <w:rsid w:val="0043302B"/>
    <w:rsid w:val="00433482"/>
    <w:rsid w:val="00433522"/>
    <w:rsid w:val="00433965"/>
    <w:rsid w:val="00433E05"/>
    <w:rsid w:val="004341A7"/>
    <w:rsid w:val="00434B85"/>
    <w:rsid w:val="004358EB"/>
    <w:rsid w:val="00435CF3"/>
    <w:rsid w:val="00436247"/>
    <w:rsid w:val="00436ECB"/>
    <w:rsid w:val="00436EDB"/>
    <w:rsid w:val="00436F3A"/>
    <w:rsid w:val="0043743E"/>
    <w:rsid w:val="00437B57"/>
    <w:rsid w:val="00437FA6"/>
    <w:rsid w:val="0044058A"/>
    <w:rsid w:val="00440827"/>
    <w:rsid w:val="00440B54"/>
    <w:rsid w:val="00440F9E"/>
    <w:rsid w:val="00441331"/>
    <w:rsid w:val="0044205D"/>
    <w:rsid w:val="00442158"/>
    <w:rsid w:val="00442675"/>
    <w:rsid w:val="00442EE3"/>
    <w:rsid w:val="004430A9"/>
    <w:rsid w:val="004434F7"/>
    <w:rsid w:val="00443792"/>
    <w:rsid w:val="00443A60"/>
    <w:rsid w:val="00443DAE"/>
    <w:rsid w:val="00444242"/>
    <w:rsid w:val="00444363"/>
    <w:rsid w:val="00444594"/>
    <w:rsid w:val="00444961"/>
    <w:rsid w:val="004449DC"/>
    <w:rsid w:val="00445007"/>
    <w:rsid w:val="00445118"/>
    <w:rsid w:val="004457AD"/>
    <w:rsid w:val="00445C9C"/>
    <w:rsid w:val="00445D64"/>
    <w:rsid w:val="00446970"/>
    <w:rsid w:val="00446ADC"/>
    <w:rsid w:val="00446CEA"/>
    <w:rsid w:val="00447124"/>
    <w:rsid w:val="0044749F"/>
    <w:rsid w:val="00447885"/>
    <w:rsid w:val="004501A0"/>
    <w:rsid w:val="00450F9D"/>
    <w:rsid w:val="00451326"/>
    <w:rsid w:val="00451591"/>
    <w:rsid w:val="004518CD"/>
    <w:rsid w:val="00451A6C"/>
    <w:rsid w:val="00451BAE"/>
    <w:rsid w:val="00451E8A"/>
    <w:rsid w:val="0045217F"/>
    <w:rsid w:val="00452AA5"/>
    <w:rsid w:val="00452B74"/>
    <w:rsid w:val="00453425"/>
    <w:rsid w:val="0045369C"/>
    <w:rsid w:val="00454176"/>
    <w:rsid w:val="004543EF"/>
    <w:rsid w:val="00454CF8"/>
    <w:rsid w:val="00454D15"/>
    <w:rsid w:val="00455021"/>
    <w:rsid w:val="00455332"/>
    <w:rsid w:val="004554C3"/>
    <w:rsid w:val="004556CC"/>
    <w:rsid w:val="00455776"/>
    <w:rsid w:val="00455955"/>
    <w:rsid w:val="00455F21"/>
    <w:rsid w:val="004560FD"/>
    <w:rsid w:val="00456154"/>
    <w:rsid w:val="0045621B"/>
    <w:rsid w:val="00456B13"/>
    <w:rsid w:val="00456DA3"/>
    <w:rsid w:val="00457071"/>
    <w:rsid w:val="0045776E"/>
    <w:rsid w:val="00457D02"/>
    <w:rsid w:val="00457E34"/>
    <w:rsid w:val="00457F23"/>
    <w:rsid w:val="004600F6"/>
    <w:rsid w:val="004612D9"/>
    <w:rsid w:val="00461492"/>
    <w:rsid w:val="004615E0"/>
    <w:rsid w:val="0046166A"/>
    <w:rsid w:val="00461B29"/>
    <w:rsid w:val="00461C21"/>
    <w:rsid w:val="00462027"/>
    <w:rsid w:val="004622BA"/>
    <w:rsid w:val="00462373"/>
    <w:rsid w:val="00462E1E"/>
    <w:rsid w:val="0046343C"/>
    <w:rsid w:val="0046392C"/>
    <w:rsid w:val="004639FC"/>
    <w:rsid w:val="00464621"/>
    <w:rsid w:val="00464C88"/>
    <w:rsid w:val="00464DA6"/>
    <w:rsid w:val="00464F21"/>
    <w:rsid w:val="004656F7"/>
    <w:rsid w:val="00465722"/>
    <w:rsid w:val="00465D06"/>
    <w:rsid w:val="00466732"/>
    <w:rsid w:val="00466AC1"/>
    <w:rsid w:val="00467313"/>
    <w:rsid w:val="004674C2"/>
    <w:rsid w:val="00467504"/>
    <w:rsid w:val="004677B5"/>
    <w:rsid w:val="00467B9D"/>
    <w:rsid w:val="00467E69"/>
    <w:rsid w:val="00470772"/>
    <w:rsid w:val="00470941"/>
    <w:rsid w:val="00470A46"/>
    <w:rsid w:val="00470E3A"/>
    <w:rsid w:val="00470EF0"/>
    <w:rsid w:val="004715B3"/>
    <w:rsid w:val="0047173F"/>
    <w:rsid w:val="00471A75"/>
    <w:rsid w:val="00471ED4"/>
    <w:rsid w:val="00472079"/>
    <w:rsid w:val="00472112"/>
    <w:rsid w:val="004722C0"/>
    <w:rsid w:val="00472942"/>
    <w:rsid w:val="00472BEE"/>
    <w:rsid w:val="00472D54"/>
    <w:rsid w:val="00473527"/>
    <w:rsid w:val="00473550"/>
    <w:rsid w:val="004735CE"/>
    <w:rsid w:val="0047395F"/>
    <w:rsid w:val="00473D45"/>
    <w:rsid w:val="00473D8C"/>
    <w:rsid w:val="00474170"/>
    <w:rsid w:val="004744BA"/>
    <w:rsid w:val="004746A8"/>
    <w:rsid w:val="0047498B"/>
    <w:rsid w:val="00474B08"/>
    <w:rsid w:val="004751E7"/>
    <w:rsid w:val="00475297"/>
    <w:rsid w:val="004753DF"/>
    <w:rsid w:val="004755C9"/>
    <w:rsid w:val="004755E1"/>
    <w:rsid w:val="00475D92"/>
    <w:rsid w:val="00476138"/>
    <w:rsid w:val="0047617D"/>
    <w:rsid w:val="0047618D"/>
    <w:rsid w:val="00476947"/>
    <w:rsid w:val="00477B1F"/>
    <w:rsid w:val="00477B3D"/>
    <w:rsid w:val="00477C8D"/>
    <w:rsid w:val="00477D88"/>
    <w:rsid w:val="00477E8F"/>
    <w:rsid w:val="00477E95"/>
    <w:rsid w:val="00477F11"/>
    <w:rsid w:val="004806D3"/>
    <w:rsid w:val="00480F7F"/>
    <w:rsid w:val="00480FCA"/>
    <w:rsid w:val="00481458"/>
    <w:rsid w:val="00481C34"/>
    <w:rsid w:val="00481D67"/>
    <w:rsid w:val="00481F3B"/>
    <w:rsid w:val="004823BE"/>
    <w:rsid w:val="004825AE"/>
    <w:rsid w:val="004825B6"/>
    <w:rsid w:val="004827C2"/>
    <w:rsid w:val="004828B1"/>
    <w:rsid w:val="00482BFD"/>
    <w:rsid w:val="00482E13"/>
    <w:rsid w:val="00483E81"/>
    <w:rsid w:val="00484181"/>
    <w:rsid w:val="00484920"/>
    <w:rsid w:val="00484E6E"/>
    <w:rsid w:val="0048507D"/>
    <w:rsid w:val="0048544C"/>
    <w:rsid w:val="00485D2C"/>
    <w:rsid w:val="00485E3F"/>
    <w:rsid w:val="00486679"/>
    <w:rsid w:val="0048678A"/>
    <w:rsid w:val="0048728B"/>
    <w:rsid w:val="004874B9"/>
    <w:rsid w:val="0048794C"/>
    <w:rsid w:val="004900D2"/>
    <w:rsid w:val="0049034C"/>
    <w:rsid w:val="00490765"/>
    <w:rsid w:val="00491066"/>
    <w:rsid w:val="0049123E"/>
    <w:rsid w:val="0049130F"/>
    <w:rsid w:val="00491446"/>
    <w:rsid w:val="00491BAC"/>
    <w:rsid w:val="00491C14"/>
    <w:rsid w:val="004921B0"/>
    <w:rsid w:val="00492312"/>
    <w:rsid w:val="00493B3B"/>
    <w:rsid w:val="00493BB7"/>
    <w:rsid w:val="00493C7B"/>
    <w:rsid w:val="00493DF9"/>
    <w:rsid w:val="00493E0C"/>
    <w:rsid w:val="004944B3"/>
    <w:rsid w:val="0049494D"/>
    <w:rsid w:val="00494A25"/>
    <w:rsid w:val="00495361"/>
    <w:rsid w:val="00495644"/>
    <w:rsid w:val="00495EE3"/>
    <w:rsid w:val="0049664F"/>
    <w:rsid w:val="00496977"/>
    <w:rsid w:val="00496AEB"/>
    <w:rsid w:val="00496B74"/>
    <w:rsid w:val="00497445"/>
    <w:rsid w:val="00497660"/>
    <w:rsid w:val="00497D45"/>
    <w:rsid w:val="004A01A2"/>
    <w:rsid w:val="004A0252"/>
    <w:rsid w:val="004A0361"/>
    <w:rsid w:val="004A07F5"/>
    <w:rsid w:val="004A09B5"/>
    <w:rsid w:val="004A31C8"/>
    <w:rsid w:val="004A32EE"/>
    <w:rsid w:val="004A37B3"/>
    <w:rsid w:val="004A3A54"/>
    <w:rsid w:val="004A4803"/>
    <w:rsid w:val="004A480D"/>
    <w:rsid w:val="004A4C4A"/>
    <w:rsid w:val="004A4FE2"/>
    <w:rsid w:val="004A5256"/>
    <w:rsid w:val="004A5444"/>
    <w:rsid w:val="004A557B"/>
    <w:rsid w:val="004A5A6C"/>
    <w:rsid w:val="004A619C"/>
    <w:rsid w:val="004A68A8"/>
    <w:rsid w:val="004A6CB9"/>
    <w:rsid w:val="004A6E1E"/>
    <w:rsid w:val="004A73F7"/>
    <w:rsid w:val="004A78C9"/>
    <w:rsid w:val="004B016C"/>
    <w:rsid w:val="004B0250"/>
    <w:rsid w:val="004B11D1"/>
    <w:rsid w:val="004B1520"/>
    <w:rsid w:val="004B1C0B"/>
    <w:rsid w:val="004B29CC"/>
    <w:rsid w:val="004B2B88"/>
    <w:rsid w:val="004B31E7"/>
    <w:rsid w:val="004B333A"/>
    <w:rsid w:val="004B358F"/>
    <w:rsid w:val="004B3879"/>
    <w:rsid w:val="004B3AF2"/>
    <w:rsid w:val="004B4046"/>
    <w:rsid w:val="004B40CF"/>
    <w:rsid w:val="004B411A"/>
    <w:rsid w:val="004B42A9"/>
    <w:rsid w:val="004B465D"/>
    <w:rsid w:val="004B4C61"/>
    <w:rsid w:val="004B544C"/>
    <w:rsid w:val="004B5513"/>
    <w:rsid w:val="004B578F"/>
    <w:rsid w:val="004B5D63"/>
    <w:rsid w:val="004B5D6C"/>
    <w:rsid w:val="004B626A"/>
    <w:rsid w:val="004B67AB"/>
    <w:rsid w:val="004B7247"/>
    <w:rsid w:val="004B7382"/>
    <w:rsid w:val="004B7887"/>
    <w:rsid w:val="004B78FE"/>
    <w:rsid w:val="004B7923"/>
    <w:rsid w:val="004C003B"/>
    <w:rsid w:val="004C0459"/>
    <w:rsid w:val="004C08E0"/>
    <w:rsid w:val="004C0F42"/>
    <w:rsid w:val="004C12BD"/>
    <w:rsid w:val="004C1C75"/>
    <w:rsid w:val="004C20B6"/>
    <w:rsid w:val="004C2340"/>
    <w:rsid w:val="004C2378"/>
    <w:rsid w:val="004C2B99"/>
    <w:rsid w:val="004C2CE0"/>
    <w:rsid w:val="004C31FD"/>
    <w:rsid w:val="004C34FF"/>
    <w:rsid w:val="004C35C5"/>
    <w:rsid w:val="004C366C"/>
    <w:rsid w:val="004C4081"/>
    <w:rsid w:val="004C492C"/>
    <w:rsid w:val="004C4AF6"/>
    <w:rsid w:val="004C4C4A"/>
    <w:rsid w:val="004C5132"/>
    <w:rsid w:val="004C53EC"/>
    <w:rsid w:val="004C54B7"/>
    <w:rsid w:val="004C5796"/>
    <w:rsid w:val="004C595B"/>
    <w:rsid w:val="004C5977"/>
    <w:rsid w:val="004C5B74"/>
    <w:rsid w:val="004C6540"/>
    <w:rsid w:val="004C65B7"/>
    <w:rsid w:val="004C6B45"/>
    <w:rsid w:val="004C6D87"/>
    <w:rsid w:val="004C7AA8"/>
    <w:rsid w:val="004D014D"/>
    <w:rsid w:val="004D0C5E"/>
    <w:rsid w:val="004D0CDB"/>
    <w:rsid w:val="004D1E19"/>
    <w:rsid w:val="004D257E"/>
    <w:rsid w:val="004D25B9"/>
    <w:rsid w:val="004D2844"/>
    <w:rsid w:val="004D2B7F"/>
    <w:rsid w:val="004D2BFD"/>
    <w:rsid w:val="004D2DB5"/>
    <w:rsid w:val="004D2E53"/>
    <w:rsid w:val="004D3311"/>
    <w:rsid w:val="004D4151"/>
    <w:rsid w:val="004D5444"/>
    <w:rsid w:val="004D60DD"/>
    <w:rsid w:val="004D6129"/>
    <w:rsid w:val="004D66BC"/>
    <w:rsid w:val="004D6C88"/>
    <w:rsid w:val="004D6EA5"/>
    <w:rsid w:val="004D6F84"/>
    <w:rsid w:val="004D6FC3"/>
    <w:rsid w:val="004D728B"/>
    <w:rsid w:val="004D7A05"/>
    <w:rsid w:val="004D7E9E"/>
    <w:rsid w:val="004E0422"/>
    <w:rsid w:val="004E090E"/>
    <w:rsid w:val="004E0E99"/>
    <w:rsid w:val="004E1198"/>
    <w:rsid w:val="004E1CB7"/>
    <w:rsid w:val="004E1D33"/>
    <w:rsid w:val="004E1E7A"/>
    <w:rsid w:val="004E22F5"/>
    <w:rsid w:val="004E2736"/>
    <w:rsid w:val="004E2F26"/>
    <w:rsid w:val="004E334F"/>
    <w:rsid w:val="004E35C8"/>
    <w:rsid w:val="004E3827"/>
    <w:rsid w:val="004E3EA9"/>
    <w:rsid w:val="004E4B3E"/>
    <w:rsid w:val="004E5250"/>
    <w:rsid w:val="004E5514"/>
    <w:rsid w:val="004E6234"/>
    <w:rsid w:val="004E632B"/>
    <w:rsid w:val="004E64B2"/>
    <w:rsid w:val="004E651C"/>
    <w:rsid w:val="004E6751"/>
    <w:rsid w:val="004E67C2"/>
    <w:rsid w:val="004E71EB"/>
    <w:rsid w:val="004E7738"/>
    <w:rsid w:val="004E79B2"/>
    <w:rsid w:val="004E7CE9"/>
    <w:rsid w:val="004E7D7A"/>
    <w:rsid w:val="004F0035"/>
    <w:rsid w:val="004F0364"/>
    <w:rsid w:val="004F0551"/>
    <w:rsid w:val="004F0589"/>
    <w:rsid w:val="004F07EB"/>
    <w:rsid w:val="004F0A09"/>
    <w:rsid w:val="004F0E7F"/>
    <w:rsid w:val="004F0F7C"/>
    <w:rsid w:val="004F15BF"/>
    <w:rsid w:val="004F24A8"/>
    <w:rsid w:val="004F294F"/>
    <w:rsid w:val="004F2B28"/>
    <w:rsid w:val="004F3897"/>
    <w:rsid w:val="004F3A52"/>
    <w:rsid w:val="004F40E9"/>
    <w:rsid w:val="004F41D1"/>
    <w:rsid w:val="004F4DC2"/>
    <w:rsid w:val="004F4DC4"/>
    <w:rsid w:val="004F522C"/>
    <w:rsid w:val="004F5772"/>
    <w:rsid w:val="004F5E3A"/>
    <w:rsid w:val="004F5F71"/>
    <w:rsid w:val="004F6223"/>
    <w:rsid w:val="004F65DA"/>
    <w:rsid w:val="004F693E"/>
    <w:rsid w:val="004F6B55"/>
    <w:rsid w:val="004F6CF6"/>
    <w:rsid w:val="00500038"/>
    <w:rsid w:val="0050005A"/>
    <w:rsid w:val="005000A9"/>
    <w:rsid w:val="00500390"/>
    <w:rsid w:val="00500C89"/>
    <w:rsid w:val="00501C6B"/>
    <w:rsid w:val="00502112"/>
    <w:rsid w:val="00502153"/>
    <w:rsid w:val="00502409"/>
    <w:rsid w:val="005028F2"/>
    <w:rsid w:val="00503BAF"/>
    <w:rsid w:val="00503DD6"/>
    <w:rsid w:val="0050412A"/>
    <w:rsid w:val="005044E4"/>
    <w:rsid w:val="005046D9"/>
    <w:rsid w:val="005049DC"/>
    <w:rsid w:val="0050604B"/>
    <w:rsid w:val="005068EF"/>
    <w:rsid w:val="00506A09"/>
    <w:rsid w:val="00506F77"/>
    <w:rsid w:val="00507B1B"/>
    <w:rsid w:val="00510278"/>
    <w:rsid w:val="00510A7B"/>
    <w:rsid w:val="00510B9D"/>
    <w:rsid w:val="00510EA3"/>
    <w:rsid w:val="005113DE"/>
    <w:rsid w:val="00511465"/>
    <w:rsid w:val="00511B4C"/>
    <w:rsid w:val="00511C2F"/>
    <w:rsid w:val="00512167"/>
    <w:rsid w:val="00512293"/>
    <w:rsid w:val="005124EC"/>
    <w:rsid w:val="00512833"/>
    <w:rsid w:val="0051333D"/>
    <w:rsid w:val="005140D2"/>
    <w:rsid w:val="00514154"/>
    <w:rsid w:val="00514313"/>
    <w:rsid w:val="0051447D"/>
    <w:rsid w:val="00514561"/>
    <w:rsid w:val="0051560E"/>
    <w:rsid w:val="00515D61"/>
    <w:rsid w:val="00515DBF"/>
    <w:rsid w:val="00515DD4"/>
    <w:rsid w:val="0051604E"/>
    <w:rsid w:val="0051640E"/>
    <w:rsid w:val="005164D2"/>
    <w:rsid w:val="00516556"/>
    <w:rsid w:val="0051676A"/>
    <w:rsid w:val="005167FE"/>
    <w:rsid w:val="00516E09"/>
    <w:rsid w:val="00516E40"/>
    <w:rsid w:val="00517092"/>
    <w:rsid w:val="00517C9D"/>
    <w:rsid w:val="00517EB3"/>
    <w:rsid w:val="00517F5B"/>
    <w:rsid w:val="0052002B"/>
    <w:rsid w:val="00520182"/>
    <w:rsid w:val="00520983"/>
    <w:rsid w:val="00520DD7"/>
    <w:rsid w:val="0052177B"/>
    <w:rsid w:val="005217CF"/>
    <w:rsid w:val="005226D4"/>
    <w:rsid w:val="00522754"/>
    <w:rsid w:val="005236E3"/>
    <w:rsid w:val="00523860"/>
    <w:rsid w:val="0052396C"/>
    <w:rsid w:val="00523A8A"/>
    <w:rsid w:val="0052402C"/>
    <w:rsid w:val="00524690"/>
    <w:rsid w:val="0052472B"/>
    <w:rsid w:val="005248BE"/>
    <w:rsid w:val="00524A8A"/>
    <w:rsid w:val="00524DC9"/>
    <w:rsid w:val="0052605D"/>
    <w:rsid w:val="00526238"/>
    <w:rsid w:val="00526D61"/>
    <w:rsid w:val="0053036B"/>
    <w:rsid w:val="0053063D"/>
    <w:rsid w:val="00530A0C"/>
    <w:rsid w:val="00530DD5"/>
    <w:rsid w:val="00531745"/>
    <w:rsid w:val="00532079"/>
    <w:rsid w:val="00532810"/>
    <w:rsid w:val="00532A25"/>
    <w:rsid w:val="00533007"/>
    <w:rsid w:val="0053306F"/>
    <w:rsid w:val="00533942"/>
    <w:rsid w:val="00533F8D"/>
    <w:rsid w:val="00534F12"/>
    <w:rsid w:val="005350E7"/>
    <w:rsid w:val="00535777"/>
    <w:rsid w:val="0053583F"/>
    <w:rsid w:val="005358BC"/>
    <w:rsid w:val="005362A0"/>
    <w:rsid w:val="005372D7"/>
    <w:rsid w:val="0053745B"/>
    <w:rsid w:val="005374AB"/>
    <w:rsid w:val="0054060E"/>
    <w:rsid w:val="00540792"/>
    <w:rsid w:val="00540D35"/>
    <w:rsid w:val="00541025"/>
    <w:rsid w:val="00541383"/>
    <w:rsid w:val="0054184E"/>
    <w:rsid w:val="00541A5B"/>
    <w:rsid w:val="00541F55"/>
    <w:rsid w:val="005427AD"/>
    <w:rsid w:val="00542AD5"/>
    <w:rsid w:val="00542E17"/>
    <w:rsid w:val="00543365"/>
    <w:rsid w:val="0054394B"/>
    <w:rsid w:val="005440CE"/>
    <w:rsid w:val="0054500C"/>
    <w:rsid w:val="00545D19"/>
    <w:rsid w:val="00546083"/>
    <w:rsid w:val="00546936"/>
    <w:rsid w:val="00546D2E"/>
    <w:rsid w:val="00546FBC"/>
    <w:rsid w:val="00547951"/>
    <w:rsid w:val="00547BA6"/>
    <w:rsid w:val="00550215"/>
    <w:rsid w:val="00550472"/>
    <w:rsid w:val="005509D9"/>
    <w:rsid w:val="00550BCF"/>
    <w:rsid w:val="00550EFD"/>
    <w:rsid w:val="00551287"/>
    <w:rsid w:val="00551590"/>
    <w:rsid w:val="00551AFB"/>
    <w:rsid w:val="00552B34"/>
    <w:rsid w:val="00552BA0"/>
    <w:rsid w:val="00552C31"/>
    <w:rsid w:val="00553138"/>
    <w:rsid w:val="005538F8"/>
    <w:rsid w:val="005539CB"/>
    <w:rsid w:val="00553E7E"/>
    <w:rsid w:val="0055414E"/>
    <w:rsid w:val="00554352"/>
    <w:rsid w:val="00554433"/>
    <w:rsid w:val="00554AC6"/>
    <w:rsid w:val="0055523A"/>
    <w:rsid w:val="005552B7"/>
    <w:rsid w:val="00555DBC"/>
    <w:rsid w:val="00556357"/>
    <w:rsid w:val="00556861"/>
    <w:rsid w:val="0055698D"/>
    <w:rsid w:val="00556AAE"/>
    <w:rsid w:val="00556AC1"/>
    <w:rsid w:val="00556B44"/>
    <w:rsid w:val="00556DF1"/>
    <w:rsid w:val="0055709D"/>
    <w:rsid w:val="005571DB"/>
    <w:rsid w:val="00557837"/>
    <w:rsid w:val="005600DA"/>
    <w:rsid w:val="005603D4"/>
    <w:rsid w:val="005608B0"/>
    <w:rsid w:val="0056092C"/>
    <w:rsid w:val="0056095A"/>
    <w:rsid w:val="00560E1C"/>
    <w:rsid w:val="0056135F"/>
    <w:rsid w:val="00561478"/>
    <w:rsid w:val="0056184C"/>
    <w:rsid w:val="00561885"/>
    <w:rsid w:val="005620BD"/>
    <w:rsid w:val="00563178"/>
    <w:rsid w:val="00563C85"/>
    <w:rsid w:val="00563D91"/>
    <w:rsid w:val="00564C8F"/>
    <w:rsid w:val="00565B2E"/>
    <w:rsid w:val="005660F4"/>
    <w:rsid w:val="00566302"/>
    <w:rsid w:val="005666AC"/>
    <w:rsid w:val="005669E2"/>
    <w:rsid w:val="00566C1B"/>
    <w:rsid w:val="00566C64"/>
    <w:rsid w:val="00566E6D"/>
    <w:rsid w:val="00566EB5"/>
    <w:rsid w:val="00566EF6"/>
    <w:rsid w:val="00566FFC"/>
    <w:rsid w:val="00567F47"/>
    <w:rsid w:val="00570210"/>
    <w:rsid w:val="00570360"/>
    <w:rsid w:val="005704BD"/>
    <w:rsid w:val="00570737"/>
    <w:rsid w:val="00570E32"/>
    <w:rsid w:val="00571025"/>
    <w:rsid w:val="005717B7"/>
    <w:rsid w:val="00571967"/>
    <w:rsid w:val="00571BE0"/>
    <w:rsid w:val="00572386"/>
    <w:rsid w:val="00572E46"/>
    <w:rsid w:val="00573023"/>
    <w:rsid w:val="00573041"/>
    <w:rsid w:val="00573964"/>
    <w:rsid w:val="00573FC4"/>
    <w:rsid w:val="0057467B"/>
    <w:rsid w:val="00574F88"/>
    <w:rsid w:val="0057540D"/>
    <w:rsid w:val="00575992"/>
    <w:rsid w:val="00575A7F"/>
    <w:rsid w:val="00575AFF"/>
    <w:rsid w:val="00575CE5"/>
    <w:rsid w:val="00576055"/>
    <w:rsid w:val="00576822"/>
    <w:rsid w:val="005768AC"/>
    <w:rsid w:val="005768AD"/>
    <w:rsid w:val="00576A81"/>
    <w:rsid w:val="00576FA5"/>
    <w:rsid w:val="00577095"/>
    <w:rsid w:val="005771E7"/>
    <w:rsid w:val="00577985"/>
    <w:rsid w:val="005779BF"/>
    <w:rsid w:val="0058011E"/>
    <w:rsid w:val="00580147"/>
    <w:rsid w:val="00580420"/>
    <w:rsid w:val="005808DF"/>
    <w:rsid w:val="00580C6C"/>
    <w:rsid w:val="005814C0"/>
    <w:rsid w:val="005835E3"/>
    <w:rsid w:val="00583962"/>
    <w:rsid w:val="00583D2A"/>
    <w:rsid w:val="005845C4"/>
    <w:rsid w:val="00584F24"/>
    <w:rsid w:val="00584FF2"/>
    <w:rsid w:val="0058520B"/>
    <w:rsid w:val="00585757"/>
    <w:rsid w:val="005858CC"/>
    <w:rsid w:val="005858F8"/>
    <w:rsid w:val="005859F6"/>
    <w:rsid w:val="005868B1"/>
    <w:rsid w:val="00586BBB"/>
    <w:rsid w:val="00586FA0"/>
    <w:rsid w:val="00587490"/>
    <w:rsid w:val="005877E8"/>
    <w:rsid w:val="00587871"/>
    <w:rsid w:val="00587B7C"/>
    <w:rsid w:val="0059013D"/>
    <w:rsid w:val="00590F11"/>
    <w:rsid w:val="005914B7"/>
    <w:rsid w:val="00591985"/>
    <w:rsid w:val="005919D4"/>
    <w:rsid w:val="00591AB1"/>
    <w:rsid w:val="00591D0F"/>
    <w:rsid w:val="005922EF"/>
    <w:rsid w:val="00592529"/>
    <w:rsid w:val="00592DCB"/>
    <w:rsid w:val="005934BB"/>
    <w:rsid w:val="00593522"/>
    <w:rsid w:val="00593697"/>
    <w:rsid w:val="00593814"/>
    <w:rsid w:val="00593835"/>
    <w:rsid w:val="00593A18"/>
    <w:rsid w:val="00593C4C"/>
    <w:rsid w:val="00593E55"/>
    <w:rsid w:val="00594504"/>
    <w:rsid w:val="0059466C"/>
    <w:rsid w:val="00594FBF"/>
    <w:rsid w:val="00595116"/>
    <w:rsid w:val="00595144"/>
    <w:rsid w:val="0059519F"/>
    <w:rsid w:val="005954A3"/>
    <w:rsid w:val="005958C6"/>
    <w:rsid w:val="00595F38"/>
    <w:rsid w:val="005961E2"/>
    <w:rsid w:val="00596757"/>
    <w:rsid w:val="00596A58"/>
    <w:rsid w:val="00596BCC"/>
    <w:rsid w:val="00597644"/>
    <w:rsid w:val="0059772E"/>
    <w:rsid w:val="00597B70"/>
    <w:rsid w:val="005A00E7"/>
    <w:rsid w:val="005A05C1"/>
    <w:rsid w:val="005A0691"/>
    <w:rsid w:val="005A06DB"/>
    <w:rsid w:val="005A0E9B"/>
    <w:rsid w:val="005A1007"/>
    <w:rsid w:val="005A105A"/>
    <w:rsid w:val="005A1323"/>
    <w:rsid w:val="005A160B"/>
    <w:rsid w:val="005A16B8"/>
    <w:rsid w:val="005A19E6"/>
    <w:rsid w:val="005A216E"/>
    <w:rsid w:val="005A266C"/>
    <w:rsid w:val="005A2798"/>
    <w:rsid w:val="005A2BF2"/>
    <w:rsid w:val="005A2F73"/>
    <w:rsid w:val="005A3DBF"/>
    <w:rsid w:val="005A3DD6"/>
    <w:rsid w:val="005A4143"/>
    <w:rsid w:val="005A49CC"/>
    <w:rsid w:val="005A4CD0"/>
    <w:rsid w:val="005A541F"/>
    <w:rsid w:val="005A5619"/>
    <w:rsid w:val="005A58BC"/>
    <w:rsid w:val="005A5C74"/>
    <w:rsid w:val="005A5D51"/>
    <w:rsid w:val="005A632C"/>
    <w:rsid w:val="005A6703"/>
    <w:rsid w:val="005A672B"/>
    <w:rsid w:val="005A6DF4"/>
    <w:rsid w:val="005A78A9"/>
    <w:rsid w:val="005A7EFB"/>
    <w:rsid w:val="005B04CB"/>
    <w:rsid w:val="005B055D"/>
    <w:rsid w:val="005B0A04"/>
    <w:rsid w:val="005B0DDF"/>
    <w:rsid w:val="005B1158"/>
    <w:rsid w:val="005B150C"/>
    <w:rsid w:val="005B156B"/>
    <w:rsid w:val="005B16FE"/>
    <w:rsid w:val="005B1728"/>
    <w:rsid w:val="005B193B"/>
    <w:rsid w:val="005B1943"/>
    <w:rsid w:val="005B19E3"/>
    <w:rsid w:val="005B1A1D"/>
    <w:rsid w:val="005B2074"/>
    <w:rsid w:val="005B248B"/>
    <w:rsid w:val="005B2BAA"/>
    <w:rsid w:val="005B3711"/>
    <w:rsid w:val="005B4049"/>
    <w:rsid w:val="005B48EA"/>
    <w:rsid w:val="005B4942"/>
    <w:rsid w:val="005B4CF3"/>
    <w:rsid w:val="005B4EE9"/>
    <w:rsid w:val="005B52AF"/>
    <w:rsid w:val="005B54E4"/>
    <w:rsid w:val="005B54F2"/>
    <w:rsid w:val="005B5683"/>
    <w:rsid w:val="005B60AC"/>
    <w:rsid w:val="005B6256"/>
    <w:rsid w:val="005B635A"/>
    <w:rsid w:val="005B6390"/>
    <w:rsid w:val="005B6888"/>
    <w:rsid w:val="005B68F9"/>
    <w:rsid w:val="005B6A2D"/>
    <w:rsid w:val="005B7248"/>
    <w:rsid w:val="005B72EA"/>
    <w:rsid w:val="005B7318"/>
    <w:rsid w:val="005B76B6"/>
    <w:rsid w:val="005C077B"/>
    <w:rsid w:val="005C09B9"/>
    <w:rsid w:val="005C0A07"/>
    <w:rsid w:val="005C0BA7"/>
    <w:rsid w:val="005C13CF"/>
    <w:rsid w:val="005C15CF"/>
    <w:rsid w:val="005C1765"/>
    <w:rsid w:val="005C1B4A"/>
    <w:rsid w:val="005C1C2D"/>
    <w:rsid w:val="005C1DC4"/>
    <w:rsid w:val="005C21DD"/>
    <w:rsid w:val="005C24D7"/>
    <w:rsid w:val="005C2CA6"/>
    <w:rsid w:val="005C2DCF"/>
    <w:rsid w:val="005C36A8"/>
    <w:rsid w:val="005C37ED"/>
    <w:rsid w:val="005C4031"/>
    <w:rsid w:val="005C430E"/>
    <w:rsid w:val="005C4BBD"/>
    <w:rsid w:val="005C4C01"/>
    <w:rsid w:val="005C5801"/>
    <w:rsid w:val="005C5A0A"/>
    <w:rsid w:val="005C5F70"/>
    <w:rsid w:val="005C6867"/>
    <w:rsid w:val="005C715E"/>
    <w:rsid w:val="005C747B"/>
    <w:rsid w:val="005C7773"/>
    <w:rsid w:val="005C78FE"/>
    <w:rsid w:val="005C7AF3"/>
    <w:rsid w:val="005C7FA1"/>
    <w:rsid w:val="005D016D"/>
    <w:rsid w:val="005D02B4"/>
    <w:rsid w:val="005D03F4"/>
    <w:rsid w:val="005D1468"/>
    <w:rsid w:val="005D14A6"/>
    <w:rsid w:val="005D2053"/>
    <w:rsid w:val="005D2266"/>
    <w:rsid w:val="005D25B4"/>
    <w:rsid w:val="005D28F4"/>
    <w:rsid w:val="005D2D69"/>
    <w:rsid w:val="005D35CF"/>
    <w:rsid w:val="005D4053"/>
    <w:rsid w:val="005D41A1"/>
    <w:rsid w:val="005D4315"/>
    <w:rsid w:val="005D4472"/>
    <w:rsid w:val="005D4557"/>
    <w:rsid w:val="005D4D58"/>
    <w:rsid w:val="005D4DE3"/>
    <w:rsid w:val="005D5874"/>
    <w:rsid w:val="005D5912"/>
    <w:rsid w:val="005D59F0"/>
    <w:rsid w:val="005D5AE2"/>
    <w:rsid w:val="005D5B6A"/>
    <w:rsid w:val="005D5D4C"/>
    <w:rsid w:val="005D60F4"/>
    <w:rsid w:val="005D629D"/>
    <w:rsid w:val="005D69CC"/>
    <w:rsid w:val="005D7895"/>
    <w:rsid w:val="005D7CFB"/>
    <w:rsid w:val="005D7D34"/>
    <w:rsid w:val="005D7E7E"/>
    <w:rsid w:val="005E0026"/>
    <w:rsid w:val="005E0165"/>
    <w:rsid w:val="005E0918"/>
    <w:rsid w:val="005E1022"/>
    <w:rsid w:val="005E1161"/>
    <w:rsid w:val="005E1535"/>
    <w:rsid w:val="005E1CE7"/>
    <w:rsid w:val="005E1DDC"/>
    <w:rsid w:val="005E1FE3"/>
    <w:rsid w:val="005E2258"/>
    <w:rsid w:val="005E27C4"/>
    <w:rsid w:val="005E2E2E"/>
    <w:rsid w:val="005E35F9"/>
    <w:rsid w:val="005E37D3"/>
    <w:rsid w:val="005E3899"/>
    <w:rsid w:val="005E392A"/>
    <w:rsid w:val="005E3D98"/>
    <w:rsid w:val="005E4DC7"/>
    <w:rsid w:val="005E5400"/>
    <w:rsid w:val="005E5503"/>
    <w:rsid w:val="005E5B79"/>
    <w:rsid w:val="005E5C95"/>
    <w:rsid w:val="005E5DAA"/>
    <w:rsid w:val="005E648D"/>
    <w:rsid w:val="005E68DF"/>
    <w:rsid w:val="005E74B8"/>
    <w:rsid w:val="005E7E28"/>
    <w:rsid w:val="005E7E71"/>
    <w:rsid w:val="005E7E98"/>
    <w:rsid w:val="005F038E"/>
    <w:rsid w:val="005F08C1"/>
    <w:rsid w:val="005F08D8"/>
    <w:rsid w:val="005F096E"/>
    <w:rsid w:val="005F0E7C"/>
    <w:rsid w:val="005F1268"/>
    <w:rsid w:val="005F1860"/>
    <w:rsid w:val="005F1869"/>
    <w:rsid w:val="005F1BE9"/>
    <w:rsid w:val="005F2ACF"/>
    <w:rsid w:val="005F3072"/>
    <w:rsid w:val="005F3A5C"/>
    <w:rsid w:val="005F3D0A"/>
    <w:rsid w:val="005F40F4"/>
    <w:rsid w:val="005F4C7C"/>
    <w:rsid w:val="005F5311"/>
    <w:rsid w:val="005F544C"/>
    <w:rsid w:val="005F54EE"/>
    <w:rsid w:val="005F5612"/>
    <w:rsid w:val="005F57F3"/>
    <w:rsid w:val="005F5FC8"/>
    <w:rsid w:val="005F6149"/>
    <w:rsid w:val="005F6DC4"/>
    <w:rsid w:val="005F7399"/>
    <w:rsid w:val="005F74E3"/>
    <w:rsid w:val="006001FB"/>
    <w:rsid w:val="006002EE"/>
    <w:rsid w:val="00600435"/>
    <w:rsid w:val="0060064C"/>
    <w:rsid w:val="00600B01"/>
    <w:rsid w:val="00600BCB"/>
    <w:rsid w:val="00600C73"/>
    <w:rsid w:val="0060138B"/>
    <w:rsid w:val="00601825"/>
    <w:rsid w:val="00602912"/>
    <w:rsid w:val="00602CF0"/>
    <w:rsid w:val="00603130"/>
    <w:rsid w:val="006033A2"/>
    <w:rsid w:val="006035C4"/>
    <w:rsid w:val="00604562"/>
    <w:rsid w:val="00604A88"/>
    <w:rsid w:val="00604DCD"/>
    <w:rsid w:val="00605135"/>
    <w:rsid w:val="00605B72"/>
    <w:rsid w:val="00605BDD"/>
    <w:rsid w:val="006066C3"/>
    <w:rsid w:val="00606731"/>
    <w:rsid w:val="00606962"/>
    <w:rsid w:val="00606993"/>
    <w:rsid w:val="00606CB5"/>
    <w:rsid w:val="00606D56"/>
    <w:rsid w:val="00607536"/>
    <w:rsid w:val="00607D93"/>
    <w:rsid w:val="006103E4"/>
    <w:rsid w:val="0061063E"/>
    <w:rsid w:val="00610973"/>
    <w:rsid w:val="00610E22"/>
    <w:rsid w:val="00611244"/>
    <w:rsid w:val="0061135B"/>
    <w:rsid w:val="0061152D"/>
    <w:rsid w:val="00611648"/>
    <w:rsid w:val="00611C9E"/>
    <w:rsid w:val="00611D14"/>
    <w:rsid w:val="00611EB5"/>
    <w:rsid w:val="0061246B"/>
    <w:rsid w:val="0061273D"/>
    <w:rsid w:val="00613BCB"/>
    <w:rsid w:val="006147CE"/>
    <w:rsid w:val="006149C9"/>
    <w:rsid w:val="00614DF2"/>
    <w:rsid w:val="00614FAE"/>
    <w:rsid w:val="006153CA"/>
    <w:rsid w:val="0061592C"/>
    <w:rsid w:val="00615AF7"/>
    <w:rsid w:val="006179B8"/>
    <w:rsid w:val="00617FE3"/>
    <w:rsid w:val="006202B5"/>
    <w:rsid w:val="00620983"/>
    <w:rsid w:val="00620C4D"/>
    <w:rsid w:val="00620CEA"/>
    <w:rsid w:val="00620E85"/>
    <w:rsid w:val="0062134B"/>
    <w:rsid w:val="00621B76"/>
    <w:rsid w:val="00621DD2"/>
    <w:rsid w:val="00621E09"/>
    <w:rsid w:val="0062216E"/>
    <w:rsid w:val="00622606"/>
    <w:rsid w:val="00622A3F"/>
    <w:rsid w:val="00622D54"/>
    <w:rsid w:val="00622DB9"/>
    <w:rsid w:val="00622E90"/>
    <w:rsid w:val="00624068"/>
    <w:rsid w:val="006241D2"/>
    <w:rsid w:val="00624257"/>
    <w:rsid w:val="00624840"/>
    <w:rsid w:val="00624A01"/>
    <w:rsid w:val="00624BBC"/>
    <w:rsid w:val="006250CB"/>
    <w:rsid w:val="006251C3"/>
    <w:rsid w:val="00625279"/>
    <w:rsid w:val="006254BC"/>
    <w:rsid w:val="006255E6"/>
    <w:rsid w:val="00625DD2"/>
    <w:rsid w:val="00625E64"/>
    <w:rsid w:val="006260B6"/>
    <w:rsid w:val="00626123"/>
    <w:rsid w:val="00626403"/>
    <w:rsid w:val="0062644B"/>
    <w:rsid w:val="0062648D"/>
    <w:rsid w:val="00626557"/>
    <w:rsid w:val="0062667B"/>
    <w:rsid w:val="006266C8"/>
    <w:rsid w:val="00626940"/>
    <w:rsid w:val="00626F80"/>
    <w:rsid w:val="0062706C"/>
    <w:rsid w:val="006270F1"/>
    <w:rsid w:val="006271C6"/>
    <w:rsid w:val="006272B9"/>
    <w:rsid w:val="00627659"/>
    <w:rsid w:val="00627750"/>
    <w:rsid w:val="0063037D"/>
    <w:rsid w:val="006303CE"/>
    <w:rsid w:val="00630489"/>
    <w:rsid w:val="006305E7"/>
    <w:rsid w:val="00630F69"/>
    <w:rsid w:val="0063114E"/>
    <w:rsid w:val="00631411"/>
    <w:rsid w:val="0063289D"/>
    <w:rsid w:val="00632928"/>
    <w:rsid w:val="00632B40"/>
    <w:rsid w:val="00632D3F"/>
    <w:rsid w:val="00633512"/>
    <w:rsid w:val="0063355D"/>
    <w:rsid w:val="006336C0"/>
    <w:rsid w:val="0063391D"/>
    <w:rsid w:val="00633B4C"/>
    <w:rsid w:val="006343FA"/>
    <w:rsid w:val="00634707"/>
    <w:rsid w:val="00634872"/>
    <w:rsid w:val="0063490C"/>
    <w:rsid w:val="00634955"/>
    <w:rsid w:val="00634B25"/>
    <w:rsid w:val="00634B2A"/>
    <w:rsid w:val="00634BA6"/>
    <w:rsid w:val="00634EEC"/>
    <w:rsid w:val="00635777"/>
    <w:rsid w:val="006358EE"/>
    <w:rsid w:val="00635BB1"/>
    <w:rsid w:val="0063601B"/>
    <w:rsid w:val="006364A7"/>
    <w:rsid w:val="00636BA1"/>
    <w:rsid w:val="0063718C"/>
    <w:rsid w:val="00637F67"/>
    <w:rsid w:val="00637F6F"/>
    <w:rsid w:val="0064019D"/>
    <w:rsid w:val="0064059A"/>
    <w:rsid w:val="00640CBB"/>
    <w:rsid w:val="006415A1"/>
    <w:rsid w:val="006421A3"/>
    <w:rsid w:val="0064259E"/>
    <w:rsid w:val="00642908"/>
    <w:rsid w:val="00642916"/>
    <w:rsid w:val="00642A6C"/>
    <w:rsid w:val="00643CA5"/>
    <w:rsid w:val="00643DB1"/>
    <w:rsid w:val="006447D3"/>
    <w:rsid w:val="00644B69"/>
    <w:rsid w:val="0064530D"/>
    <w:rsid w:val="0064535B"/>
    <w:rsid w:val="0064547A"/>
    <w:rsid w:val="00645745"/>
    <w:rsid w:val="00645AC0"/>
    <w:rsid w:val="00646057"/>
    <w:rsid w:val="006465B6"/>
    <w:rsid w:val="00646632"/>
    <w:rsid w:val="00646A05"/>
    <w:rsid w:val="00646C61"/>
    <w:rsid w:val="00646C8C"/>
    <w:rsid w:val="00646E44"/>
    <w:rsid w:val="006471AA"/>
    <w:rsid w:val="006471CB"/>
    <w:rsid w:val="006472C8"/>
    <w:rsid w:val="00647B1A"/>
    <w:rsid w:val="00647E65"/>
    <w:rsid w:val="006502B1"/>
    <w:rsid w:val="00650330"/>
    <w:rsid w:val="0065051B"/>
    <w:rsid w:val="00650539"/>
    <w:rsid w:val="00650559"/>
    <w:rsid w:val="00650859"/>
    <w:rsid w:val="00651F62"/>
    <w:rsid w:val="00652083"/>
    <w:rsid w:val="006521BF"/>
    <w:rsid w:val="006523F0"/>
    <w:rsid w:val="00652831"/>
    <w:rsid w:val="00652C80"/>
    <w:rsid w:val="00653A5C"/>
    <w:rsid w:val="006540E0"/>
    <w:rsid w:val="00654519"/>
    <w:rsid w:val="0065451B"/>
    <w:rsid w:val="00654957"/>
    <w:rsid w:val="00654972"/>
    <w:rsid w:val="006550FD"/>
    <w:rsid w:val="00655660"/>
    <w:rsid w:val="00655841"/>
    <w:rsid w:val="00655B6D"/>
    <w:rsid w:val="00655BEE"/>
    <w:rsid w:val="00655C4D"/>
    <w:rsid w:val="00656136"/>
    <w:rsid w:val="00656783"/>
    <w:rsid w:val="00656FFA"/>
    <w:rsid w:val="0065737D"/>
    <w:rsid w:val="00657776"/>
    <w:rsid w:val="0065785E"/>
    <w:rsid w:val="00660717"/>
    <w:rsid w:val="006609A8"/>
    <w:rsid w:val="00660B71"/>
    <w:rsid w:val="0066126C"/>
    <w:rsid w:val="00661323"/>
    <w:rsid w:val="00661957"/>
    <w:rsid w:val="006619D9"/>
    <w:rsid w:val="00661E4D"/>
    <w:rsid w:val="0066204B"/>
    <w:rsid w:val="00662269"/>
    <w:rsid w:val="006622EF"/>
    <w:rsid w:val="0066252B"/>
    <w:rsid w:val="00662854"/>
    <w:rsid w:val="00662B42"/>
    <w:rsid w:val="00662E12"/>
    <w:rsid w:val="0066311D"/>
    <w:rsid w:val="006638C0"/>
    <w:rsid w:val="00663B30"/>
    <w:rsid w:val="00663B5B"/>
    <w:rsid w:val="00663BAA"/>
    <w:rsid w:val="00663D0A"/>
    <w:rsid w:val="00663DA7"/>
    <w:rsid w:val="00663EDE"/>
    <w:rsid w:val="0066410C"/>
    <w:rsid w:val="006641C3"/>
    <w:rsid w:val="006641EA"/>
    <w:rsid w:val="00664514"/>
    <w:rsid w:val="006652C9"/>
    <w:rsid w:val="00665320"/>
    <w:rsid w:val="00665623"/>
    <w:rsid w:val="00665A8E"/>
    <w:rsid w:val="00665EBF"/>
    <w:rsid w:val="00665EE1"/>
    <w:rsid w:val="00665F3D"/>
    <w:rsid w:val="00665FCC"/>
    <w:rsid w:val="00666054"/>
    <w:rsid w:val="0066677C"/>
    <w:rsid w:val="00667A2A"/>
    <w:rsid w:val="00667D0B"/>
    <w:rsid w:val="0067050D"/>
    <w:rsid w:val="006707A4"/>
    <w:rsid w:val="0067088A"/>
    <w:rsid w:val="0067092B"/>
    <w:rsid w:val="00670A44"/>
    <w:rsid w:val="00670A65"/>
    <w:rsid w:val="00671CB9"/>
    <w:rsid w:val="00671D5B"/>
    <w:rsid w:val="00672457"/>
    <w:rsid w:val="0067336F"/>
    <w:rsid w:val="006734A7"/>
    <w:rsid w:val="0067362D"/>
    <w:rsid w:val="00673BCE"/>
    <w:rsid w:val="00674725"/>
    <w:rsid w:val="0067532D"/>
    <w:rsid w:val="00675522"/>
    <w:rsid w:val="006757AA"/>
    <w:rsid w:val="00675967"/>
    <w:rsid w:val="006759A7"/>
    <w:rsid w:val="00675C93"/>
    <w:rsid w:val="006766B0"/>
    <w:rsid w:val="00676B5E"/>
    <w:rsid w:val="00677237"/>
    <w:rsid w:val="006774E9"/>
    <w:rsid w:val="00677CDF"/>
    <w:rsid w:val="00677D6B"/>
    <w:rsid w:val="00677DD2"/>
    <w:rsid w:val="00677FDC"/>
    <w:rsid w:val="00680B22"/>
    <w:rsid w:val="00680E1C"/>
    <w:rsid w:val="00680E38"/>
    <w:rsid w:val="00681055"/>
    <w:rsid w:val="00681547"/>
    <w:rsid w:val="006824B8"/>
    <w:rsid w:val="0068255C"/>
    <w:rsid w:val="00682759"/>
    <w:rsid w:val="00683089"/>
    <w:rsid w:val="00683AFC"/>
    <w:rsid w:val="00683DC6"/>
    <w:rsid w:val="006848D9"/>
    <w:rsid w:val="00684EE2"/>
    <w:rsid w:val="0068556F"/>
    <w:rsid w:val="006856A5"/>
    <w:rsid w:val="00685877"/>
    <w:rsid w:val="00686205"/>
    <w:rsid w:val="00686782"/>
    <w:rsid w:val="00686B85"/>
    <w:rsid w:val="00686C9C"/>
    <w:rsid w:val="00686CE2"/>
    <w:rsid w:val="00686E19"/>
    <w:rsid w:val="00687031"/>
    <w:rsid w:val="00687349"/>
    <w:rsid w:val="006875EE"/>
    <w:rsid w:val="00687658"/>
    <w:rsid w:val="0068767E"/>
    <w:rsid w:val="006903BC"/>
    <w:rsid w:val="0069043C"/>
    <w:rsid w:val="0069058B"/>
    <w:rsid w:val="006906EE"/>
    <w:rsid w:val="006908AB"/>
    <w:rsid w:val="00691080"/>
    <w:rsid w:val="00692025"/>
    <w:rsid w:val="00692391"/>
    <w:rsid w:val="0069261E"/>
    <w:rsid w:val="006929CB"/>
    <w:rsid w:val="00692DE9"/>
    <w:rsid w:val="00693236"/>
    <w:rsid w:val="006932FE"/>
    <w:rsid w:val="00693A6F"/>
    <w:rsid w:val="00693AD3"/>
    <w:rsid w:val="0069402A"/>
    <w:rsid w:val="0069403C"/>
    <w:rsid w:val="00694616"/>
    <w:rsid w:val="00695391"/>
    <w:rsid w:val="00695A9D"/>
    <w:rsid w:val="00695B72"/>
    <w:rsid w:val="006962FA"/>
    <w:rsid w:val="00696477"/>
    <w:rsid w:val="006966F6"/>
    <w:rsid w:val="00696839"/>
    <w:rsid w:val="00696ACC"/>
    <w:rsid w:val="00697076"/>
    <w:rsid w:val="006A0A37"/>
    <w:rsid w:val="006A0A42"/>
    <w:rsid w:val="006A0BA4"/>
    <w:rsid w:val="006A0E10"/>
    <w:rsid w:val="006A14E9"/>
    <w:rsid w:val="006A180A"/>
    <w:rsid w:val="006A2152"/>
    <w:rsid w:val="006A2994"/>
    <w:rsid w:val="006A2AAA"/>
    <w:rsid w:val="006A2AB4"/>
    <w:rsid w:val="006A2CD5"/>
    <w:rsid w:val="006A307A"/>
    <w:rsid w:val="006A3977"/>
    <w:rsid w:val="006A3AF5"/>
    <w:rsid w:val="006A44A3"/>
    <w:rsid w:val="006A4962"/>
    <w:rsid w:val="006A4A4B"/>
    <w:rsid w:val="006A503A"/>
    <w:rsid w:val="006A5397"/>
    <w:rsid w:val="006A5589"/>
    <w:rsid w:val="006A5992"/>
    <w:rsid w:val="006A616C"/>
    <w:rsid w:val="006A6508"/>
    <w:rsid w:val="006A6774"/>
    <w:rsid w:val="006A6C5E"/>
    <w:rsid w:val="006A74C1"/>
    <w:rsid w:val="006A76B5"/>
    <w:rsid w:val="006A7764"/>
    <w:rsid w:val="006A79CF"/>
    <w:rsid w:val="006A7B48"/>
    <w:rsid w:val="006A7BED"/>
    <w:rsid w:val="006A7DAF"/>
    <w:rsid w:val="006A7EB3"/>
    <w:rsid w:val="006A7FC7"/>
    <w:rsid w:val="006B005C"/>
    <w:rsid w:val="006B09F8"/>
    <w:rsid w:val="006B0C44"/>
    <w:rsid w:val="006B0C70"/>
    <w:rsid w:val="006B111C"/>
    <w:rsid w:val="006B154C"/>
    <w:rsid w:val="006B164F"/>
    <w:rsid w:val="006B1B14"/>
    <w:rsid w:val="006B2560"/>
    <w:rsid w:val="006B2653"/>
    <w:rsid w:val="006B28BC"/>
    <w:rsid w:val="006B28E2"/>
    <w:rsid w:val="006B3023"/>
    <w:rsid w:val="006B3491"/>
    <w:rsid w:val="006B3C65"/>
    <w:rsid w:val="006B4081"/>
    <w:rsid w:val="006B415F"/>
    <w:rsid w:val="006B44F8"/>
    <w:rsid w:val="006B4BFA"/>
    <w:rsid w:val="006B4E90"/>
    <w:rsid w:val="006B5315"/>
    <w:rsid w:val="006B56A7"/>
    <w:rsid w:val="006B5935"/>
    <w:rsid w:val="006B5CBE"/>
    <w:rsid w:val="006B5E0D"/>
    <w:rsid w:val="006B6626"/>
    <w:rsid w:val="006B6C01"/>
    <w:rsid w:val="006B6D1E"/>
    <w:rsid w:val="006B7376"/>
    <w:rsid w:val="006B79E8"/>
    <w:rsid w:val="006C01EC"/>
    <w:rsid w:val="006C06DF"/>
    <w:rsid w:val="006C12C0"/>
    <w:rsid w:val="006C14FF"/>
    <w:rsid w:val="006C1527"/>
    <w:rsid w:val="006C318E"/>
    <w:rsid w:val="006C373F"/>
    <w:rsid w:val="006C3AFB"/>
    <w:rsid w:val="006C415F"/>
    <w:rsid w:val="006C42C2"/>
    <w:rsid w:val="006C4937"/>
    <w:rsid w:val="006C4F84"/>
    <w:rsid w:val="006C50F5"/>
    <w:rsid w:val="006C53DA"/>
    <w:rsid w:val="006C5E6C"/>
    <w:rsid w:val="006C6697"/>
    <w:rsid w:val="006C66DF"/>
    <w:rsid w:val="006C71AC"/>
    <w:rsid w:val="006C7B33"/>
    <w:rsid w:val="006D0356"/>
    <w:rsid w:val="006D0440"/>
    <w:rsid w:val="006D057D"/>
    <w:rsid w:val="006D0769"/>
    <w:rsid w:val="006D08E0"/>
    <w:rsid w:val="006D096D"/>
    <w:rsid w:val="006D0F2F"/>
    <w:rsid w:val="006D1466"/>
    <w:rsid w:val="006D1759"/>
    <w:rsid w:val="006D1CD6"/>
    <w:rsid w:val="006D1E72"/>
    <w:rsid w:val="006D211A"/>
    <w:rsid w:val="006D21BE"/>
    <w:rsid w:val="006D2284"/>
    <w:rsid w:val="006D2CD3"/>
    <w:rsid w:val="006D33A8"/>
    <w:rsid w:val="006D34EE"/>
    <w:rsid w:val="006D351B"/>
    <w:rsid w:val="006D37A1"/>
    <w:rsid w:val="006D40A7"/>
    <w:rsid w:val="006D477B"/>
    <w:rsid w:val="006D5059"/>
    <w:rsid w:val="006D5114"/>
    <w:rsid w:val="006D574C"/>
    <w:rsid w:val="006D59F1"/>
    <w:rsid w:val="006D5CBC"/>
    <w:rsid w:val="006D60A7"/>
    <w:rsid w:val="006D66D2"/>
    <w:rsid w:val="006D6AA1"/>
    <w:rsid w:val="006D7338"/>
    <w:rsid w:val="006D7679"/>
    <w:rsid w:val="006D7AAE"/>
    <w:rsid w:val="006D7DCE"/>
    <w:rsid w:val="006D7FC4"/>
    <w:rsid w:val="006E009A"/>
    <w:rsid w:val="006E0389"/>
    <w:rsid w:val="006E05FC"/>
    <w:rsid w:val="006E08A6"/>
    <w:rsid w:val="006E0C09"/>
    <w:rsid w:val="006E105D"/>
    <w:rsid w:val="006E144F"/>
    <w:rsid w:val="006E165D"/>
    <w:rsid w:val="006E186A"/>
    <w:rsid w:val="006E1F8A"/>
    <w:rsid w:val="006E26DD"/>
    <w:rsid w:val="006E26F9"/>
    <w:rsid w:val="006E27CF"/>
    <w:rsid w:val="006E2AB1"/>
    <w:rsid w:val="006E2E19"/>
    <w:rsid w:val="006E3284"/>
    <w:rsid w:val="006E39C9"/>
    <w:rsid w:val="006E39EB"/>
    <w:rsid w:val="006E3F2D"/>
    <w:rsid w:val="006E43EB"/>
    <w:rsid w:val="006E44DF"/>
    <w:rsid w:val="006E49F2"/>
    <w:rsid w:val="006E4E95"/>
    <w:rsid w:val="006E5313"/>
    <w:rsid w:val="006E5E1C"/>
    <w:rsid w:val="006E6780"/>
    <w:rsid w:val="006E6DF7"/>
    <w:rsid w:val="006E78F4"/>
    <w:rsid w:val="006E7CD0"/>
    <w:rsid w:val="006E7E42"/>
    <w:rsid w:val="006F0070"/>
    <w:rsid w:val="006F02E5"/>
    <w:rsid w:val="006F0689"/>
    <w:rsid w:val="006F070F"/>
    <w:rsid w:val="006F07C8"/>
    <w:rsid w:val="006F080E"/>
    <w:rsid w:val="006F0817"/>
    <w:rsid w:val="006F111A"/>
    <w:rsid w:val="006F12A1"/>
    <w:rsid w:val="006F16BD"/>
    <w:rsid w:val="006F1B73"/>
    <w:rsid w:val="006F1C0B"/>
    <w:rsid w:val="006F22A9"/>
    <w:rsid w:val="006F285F"/>
    <w:rsid w:val="006F2D75"/>
    <w:rsid w:val="006F3F49"/>
    <w:rsid w:val="006F401E"/>
    <w:rsid w:val="006F45D9"/>
    <w:rsid w:val="006F4AD9"/>
    <w:rsid w:val="006F5296"/>
    <w:rsid w:val="006F54D8"/>
    <w:rsid w:val="006F613F"/>
    <w:rsid w:val="006F6328"/>
    <w:rsid w:val="006F6637"/>
    <w:rsid w:val="006F7211"/>
    <w:rsid w:val="006F7915"/>
    <w:rsid w:val="006F7F4E"/>
    <w:rsid w:val="0070015B"/>
    <w:rsid w:val="0070022B"/>
    <w:rsid w:val="00700A7A"/>
    <w:rsid w:val="00700C77"/>
    <w:rsid w:val="00701CFF"/>
    <w:rsid w:val="00701EE0"/>
    <w:rsid w:val="00702700"/>
    <w:rsid w:val="00702A11"/>
    <w:rsid w:val="00702A3C"/>
    <w:rsid w:val="00702BE2"/>
    <w:rsid w:val="007036AA"/>
    <w:rsid w:val="00703D71"/>
    <w:rsid w:val="00703F04"/>
    <w:rsid w:val="00704821"/>
    <w:rsid w:val="00704952"/>
    <w:rsid w:val="00705EA0"/>
    <w:rsid w:val="00705EAF"/>
    <w:rsid w:val="00706332"/>
    <w:rsid w:val="00706556"/>
    <w:rsid w:val="00706750"/>
    <w:rsid w:val="00706805"/>
    <w:rsid w:val="0070731E"/>
    <w:rsid w:val="007073DB"/>
    <w:rsid w:val="00710883"/>
    <w:rsid w:val="007108AE"/>
    <w:rsid w:val="00710CB8"/>
    <w:rsid w:val="00710D60"/>
    <w:rsid w:val="007110E1"/>
    <w:rsid w:val="00711AF0"/>
    <w:rsid w:val="00711F0A"/>
    <w:rsid w:val="00712132"/>
    <w:rsid w:val="00712A34"/>
    <w:rsid w:val="00712A39"/>
    <w:rsid w:val="00712FC4"/>
    <w:rsid w:val="00712FFB"/>
    <w:rsid w:val="00713071"/>
    <w:rsid w:val="0071320A"/>
    <w:rsid w:val="00713BBA"/>
    <w:rsid w:val="00714326"/>
    <w:rsid w:val="00714666"/>
    <w:rsid w:val="00714668"/>
    <w:rsid w:val="00714805"/>
    <w:rsid w:val="00714CEE"/>
    <w:rsid w:val="00714F4D"/>
    <w:rsid w:val="00715272"/>
    <w:rsid w:val="00715C1B"/>
    <w:rsid w:val="00715C97"/>
    <w:rsid w:val="00715D40"/>
    <w:rsid w:val="007165F6"/>
    <w:rsid w:val="00716817"/>
    <w:rsid w:val="0071699A"/>
    <w:rsid w:val="00716C3C"/>
    <w:rsid w:val="00716CE0"/>
    <w:rsid w:val="00716EFF"/>
    <w:rsid w:val="007170F9"/>
    <w:rsid w:val="007178A4"/>
    <w:rsid w:val="00717F44"/>
    <w:rsid w:val="0072032C"/>
    <w:rsid w:val="007203B1"/>
    <w:rsid w:val="00720FE1"/>
    <w:rsid w:val="007211E1"/>
    <w:rsid w:val="007215A4"/>
    <w:rsid w:val="00721971"/>
    <w:rsid w:val="00721A65"/>
    <w:rsid w:val="00722130"/>
    <w:rsid w:val="00722166"/>
    <w:rsid w:val="00722758"/>
    <w:rsid w:val="00722837"/>
    <w:rsid w:val="00722D71"/>
    <w:rsid w:val="00722EB1"/>
    <w:rsid w:val="00722FAD"/>
    <w:rsid w:val="00723404"/>
    <w:rsid w:val="007237A5"/>
    <w:rsid w:val="00723CE7"/>
    <w:rsid w:val="00723E78"/>
    <w:rsid w:val="00724B41"/>
    <w:rsid w:val="00724B78"/>
    <w:rsid w:val="0072551D"/>
    <w:rsid w:val="007262D8"/>
    <w:rsid w:val="007263F4"/>
    <w:rsid w:val="0072740E"/>
    <w:rsid w:val="00727661"/>
    <w:rsid w:val="0072773D"/>
    <w:rsid w:val="00727804"/>
    <w:rsid w:val="00727988"/>
    <w:rsid w:val="007300C9"/>
    <w:rsid w:val="0073023D"/>
    <w:rsid w:val="00730366"/>
    <w:rsid w:val="0073088E"/>
    <w:rsid w:val="00730951"/>
    <w:rsid w:val="00730BA2"/>
    <w:rsid w:val="007310A7"/>
    <w:rsid w:val="00731186"/>
    <w:rsid w:val="00731EBC"/>
    <w:rsid w:val="007323D1"/>
    <w:rsid w:val="007324B9"/>
    <w:rsid w:val="007328B0"/>
    <w:rsid w:val="007329E1"/>
    <w:rsid w:val="00732AC4"/>
    <w:rsid w:val="00732C75"/>
    <w:rsid w:val="0073316A"/>
    <w:rsid w:val="00733318"/>
    <w:rsid w:val="00733535"/>
    <w:rsid w:val="00733757"/>
    <w:rsid w:val="00733B3B"/>
    <w:rsid w:val="00733B93"/>
    <w:rsid w:val="00734034"/>
    <w:rsid w:val="007346D1"/>
    <w:rsid w:val="0073486D"/>
    <w:rsid w:val="00734F58"/>
    <w:rsid w:val="007351B4"/>
    <w:rsid w:val="00735869"/>
    <w:rsid w:val="00735F91"/>
    <w:rsid w:val="00736144"/>
    <w:rsid w:val="007367FA"/>
    <w:rsid w:val="00736A27"/>
    <w:rsid w:val="00737605"/>
    <w:rsid w:val="007377D6"/>
    <w:rsid w:val="00737943"/>
    <w:rsid w:val="00737A2B"/>
    <w:rsid w:val="00737A2F"/>
    <w:rsid w:val="00740652"/>
    <w:rsid w:val="007409CD"/>
    <w:rsid w:val="00740FD2"/>
    <w:rsid w:val="00741732"/>
    <w:rsid w:val="0074204F"/>
    <w:rsid w:val="007422B2"/>
    <w:rsid w:val="007422EF"/>
    <w:rsid w:val="00742813"/>
    <w:rsid w:val="00742BE2"/>
    <w:rsid w:val="00742E64"/>
    <w:rsid w:val="007430B5"/>
    <w:rsid w:val="00743919"/>
    <w:rsid w:val="00744307"/>
    <w:rsid w:val="00744544"/>
    <w:rsid w:val="00744740"/>
    <w:rsid w:val="00744B68"/>
    <w:rsid w:val="00745193"/>
    <w:rsid w:val="00745353"/>
    <w:rsid w:val="007453FF"/>
    <w:rsid w:val="0074554C"/>
    <w:rsid w:val="0074557E"/>
    <w:rsid w:val="007457CB"/>
    <w:rsid w:val="007458FF"/>
    <w:rsid w:val="00745A93"/>
    <w:rsid w:val="0074667F"/>
    <w:rsid w:val="0074675C"/>
    <w:rsid w:val="00746799"/>
    <w:rsid w:val="00746CFF"/>
    <w:rsid w:val="007472AF"/>
    <w:rsid w:val="007473A1"/>
    <w:rsid w:val="00747640"/>
    <w:rsid w:val="0074773A"/>
    <w:rsid w:val="00747ED2"/>
    <w:rsid w:val="00747FA7"/>
    <w:rsid w:val="007502BB"/>
    <w:rsid w:val="0075040D"/>
    <w:rsid w:val="00750499"/>
    <w:rsid w:val="0075100B"/>
    <w:rsid w:val="007513B3"/>
    <w:rsid w:val="00751462"/>
    <w:rsid w:val="00752E9A"/>
    <w:rsid w:val="00752FBF"/>
    <w:rsid w:val="00753120"/>
    <w:rsid w:val="007536F1"/>
    <w:rsid w:val="00754154"/>
    <w:rsid w:val="007554BB"/>
    <w:rsid w:val="00755A20"/>
    <w:rsid w:val="00756158"/>
    <w:rsid w:val="007561BD"/>
    <w:rsid w:val="007561DE"/>
    <w:rsid w:val="007563BD"/>
    <w:rsid w:val="007568C3"/>
    <w:rsid w:val="00756993"/>
    <w:rsid w:val="00757240"/>
    <w:rsid w:val="007575F0"/>
    <w:rsid w:val="00757A7D"/>
    <w:rsid w:val="00757D00"/>
    <w:rsid w:val="00757F77"/>
    <w:rsid w:val="00757FFE"/>
    <w:rsid w:val="00760618"/>
    <w:rsid w:val="007608FD"/>
    <w:rsid w:val="00760B6D"/>
    <w:rsid w:val="00760C1B"/>
    <w:rsid w:val="00760C8F"/>
    <w:rsid w:val="00760CF1"/>
    <w:rsid w:val="00760DFB"/>
    <w:rsid w:val="0076150E"/>
    <w:rsid w:val="0076157C"/>
    <w:rsid w:val="0076169F"/>
    <w:rsid w:val="007616CF"/>
    <w:rsid w:val="007619D4"/>
    <w:rsid w:val="00761B2B"/>
    <w:rsid w:val="00761BF8"/>
    <w:rsid w:val="00761F89"/>
    <w:rsid w:val="007620A3"/>
    <w:rsid w:val="00762B4B"/>
    <w:rsid w:val="00762E0C"/>
    <w:rsid w:val="007636A3"/>
    <w:rsid w:val="00763800"/>
    <w:rsid w:val="007639CF"/>
    <w:rsid w:val="00763BCC"/>
    <w:rsid w:val="00763BCD"/>
    <w:rsid w:val="007643AD"/>
    <w:rsid w:val="00764768"/>
    <w:rsid w:val="0076487E"/>
    <w:rsid w:val="00764F03"/>
    <w:rsid w:val="007653D9"/>
    <w:rsid w:val="007656B4"/>
    <w:rsid w:val="0076589E"/>
    <w:rsid w:val="00765C59"/>
    <w:rsid w:val="00765D06"/>
    <w:rsid w:val="00765F12"/>
    <w:rsid w:val="007660AB"/>
    <w:rsid w:val="0076761A"/>
    <w:rsid w:val="00767AAB"/>
    <w:rsid w:val="00770760"/>
    <w:rsid w:val="007712BE"/>
    <w:rsid w:val="007714FD"/>
    <w:rsid w:val="0077165B"/>
    <w:rsid w:val="0077184B"/>
    <w:rsid w:val="00772117"/>
    <w:rsid w:val="0077265B"/>
    <w:rsid w:val="0077267B"/>
    <w:rsid w:val="00773405"/>
    <w:rsid w:val="0077345E"/>
    <w:rsid w:val="00774257"/>
    <w:rsid w:val="0077449D"/>
    <w:rsid w:val="007746F7"/>
    <w:rsid w:val="00774B7B"/>
    <w:rsid w:val="007752C9"/>
    <w:rsid w:val="0077575F"/>
    <w:rsid w:val="00775986"/>
    <w:rsid w:val="00776349"/>
    <w:rsid w:val="00776957"/>
    <w:rsid w:val="00777ABA"/>
    <w:rsid w:val="00777ECD"/>
    <w:rsid w:val="00780962"/>
    <w:rsid w:val="007809F7"/>
    <w:rsid w:val="00780A0E"/>
    <w:rsid w:val="00780A3F"/>
    <w:rsid w:val="00780CF0"/>
    <w:rsid w:val="00781078"/>
    <w:rsid w:val="00781322"/>
    <w:rsid w:val="0078145B"/>
    <w:rsid w:val="00781610"/>
    <w:rsid w:val="00781737"/>
    <w:rsid w:val="00781CE2"/>
    <w:rsid w:val="0078221B"/>
    <w:rsid w:val="007829AB"/>
    <w:rsid w:val="00782F0F"/>
    <w:rsid w:val="007831F9"/>
    <w:rsid w:val="00783AF6"/>
    <w:rsid w:val="00783B65"/>
    <w:rsid w:val="007844F4"/>
    <w:rsid w:val="00784915"/>
    <w:rsid w:val="00784DEB"/>
    <w:rsid w:val="0078523F"/>
    <w:rsid w:val="00785323"/>
    <w:rsid w:val="007854B0"/>
    <w:rsid w:val="00785791"/>
    <w:rsid w:val="00786037"/>
    <w:rsid w:val="007865FF"/>
    <w:rsid w:val="00786808"/>
    <w:rsid w:val="00786CE2"/>
    <w:rsid w:val="00787437"/>
    <w:rsid w:val="0078783C"/>
    <w:rsid w:val="00787B07"/>
    <w:rsid w:val="00787BD6"/>
    <w:rsid w:val="00787EA6"/>
    <w:rsid w:val="00790391"/>
    <w:rsid w:val="00790565"/>
    <w:rsid w:val="00790AD0"/>
    <w:rsid w:val="007913BF"/>
    <w:rsid w:val="007915FA"/>
    <w:rsid w:val="007916BF"/>
    <w:rsid w:val="00791902"/>
    <w:rsid w:val="00791B31"/>
    <w:rsid w:val="00791DE4"/>
    <w:rsid w:val="00792671"/>
    <w:rsid w:val="007927FD"/>
    <w:rsid w:val="0079298D"/>
    <w:rsid w:val="00792A68"/>
    <w:rsid w:val="00792F0A"/>
    <w:rsid w:val="00792F4B"/>
    <w:rsid w:val="007930DB"/>
    <w:rsid w:val="007935ED"/>
    <w:rsid w:val="00793BB7"/>
    <w:rsid w:val="0079493F"/>
    <w:rsid w:val="00794CDE"/>
    <w:rsid w:val="00794E70"/>
    <w:rsid w:val="00795146"/>
    <w:rsid w:val="00795C97"/>
    <w:rsid w:val="00795EB4"/>
    <w:rsid w:val="00796051"/>
    <w:rsid w:val="007962D0"/>
    <w:rsid w:val="007962EC"/>
    <w:rsid w:val="007963E3"/>
    <w:rsid w:val="00796BEE"/>
    <w:rsid w:val="00796D60"/>
    <w:rsid w:val="00797039"/>
    <w:rsid w:val="00797054"/>
    <w:rsid w:val="007970E6"/>
    <w:rsid w:val="00797AB0"/>
    <w:rsid w:val="00797BF5"/>
    <w:rsid w:val="007A0072"/>
    <w:rsid w:val="007A00BF"/>
    <w:rsid w:val="007A0607"/>
    <w:rsid w:val="007A1224"/>
    <w:rsid w:val="007A12D4"/>
    <w:rsid w:val="007A17F6"/>
    <w:rsid w:val="007A17FC"/>
    <w:rsid w:val="007A1812"/>
    <w:rsid w:val="007A1D52"/>
    <w:rsid w:val="007A207E"/>
    <w:rsid w:val="007A20DD"/>
    <w:rsid w:val="007A22DA"/>
    <w:rsid w:val="007A2401"/>
    <w:rsid w:val="007A28F5"/>
    <w:rsid w:val="007A3223"/>
    <w:rsid w:val="007A353E"/>
    <w:rsid w:val="007A35EE"/>
    <w:rsid w:val="007A3673"/>
    <w:rsid w:val="007A4503"/>
    <w:rsid w:val="007A46BF"/>
    <w:rsid w:val="007A47C1"/>
    <w:rsid w:val="007A489E"/>
    <w:rsid w:val="007A4A53"/>
    <w:rsid w:val="007A51E4"/>
    <w:rsid w:val="007A5255"/>
    <w:rsid w:val="007A5348"/>
    <w:rsid w:val="007A59A9"/>
    <w:rsid w:val="007A6312"/>
    <w:rsid w:val="007A7184"/>
    <w:rsid w:val="007A74A5"/>
    <w:rsid w:val="007B00EF"/>
    <w:rsid w:val="007B01C1"/>
    <w:rsid w:val="007B073F"/>
    <w:rsid w:val="007B078E"/>
    <w:rsid w:val="007B08A3"/>
    <w:rsid w:val="007B0F24"/>
    <w:rsid w:val="007B0F8E"/>
    <w:rsid w:val="007B0FD5"/>
    <w:rsid w:val="007B155C"/>
    <w:rsid w:val="007B1925"/>
    <w:rsid w:val="007B1B34"/>
    <w:rsid w:val="007B1CB1"/>
    <w:rsid w:val="007B2110"/>
    <w:rsid w:val="007B2468"/>
    <w:rsid w:val="007B2D3D"/>
    <w:rsid w:val="007B2F6E"/>
    <w:rsid w:val="007B353B"/>
    <w:rsid w:val="007B3A56"/>
    <w:rsid w:val="007B3C2A"/>
    <w:rsid w:val="007B3D1D"/>
    <w:rsid w:val="007B3D69"/>
    <w:rsid w:val="007B40FC"/>
    <w:rsid w:val="007B41D5"/>
    <w:rsid w:val="007B44DC"/>
    <w:rsid w:val="007B47BF"/>
    <w:rsid w:val="007B4A52"/>
    <w:rsid w:val="007B52FC"/>
    <w:rsid w:val="007B5596"/>
    <w:rsid w:val="007B585B"/>
    <w:rsid w:val="007B5CEF"/>
    <w:rsid w:val="007B5D59"/>
    <w:rsid w:val="007B60EC"/>
    <w:rsid w:val="007B6251"/>
    <w:rsid w:val="007B669F"/>
    <w:rsid w:val="007B6AAD"/>
    <w:rsid w:val="007B6B24"/>
    <w:rsid w:val="007B6BF3"/>
    <w:rsid w:val="007B7083"/>
    <w:rsid w:val="007B7654"/>
    <w:rsid w:val="007B76D6"/>
    <w:rsid w:val="007B7926"/>
    <w:rsid w:val="007B7D9A"/>
    <w:rsid w:val="007B7F00"/>
    <w:rsid w:val="007C03B7"/>
    <w:rsid w:val="007C0B40"/>
    <w:rsid w:val="007C0B83"/>
    <w:rsid w:val="007C0BF7"/>
    <w:rsid w:val="007C0D83"/>
    <w:rsid w:val="007C104E"/>
    <w:rsid w:val="007C1099"/>
    <w:rsid w:val="007C12CD"/>
    <w:rsid w:val="007C1335"/>
    <w:rsid w:val="007C1D21"/>
    <w:rsid w:val="007C20C5"/>
    <w:rsid w:val="007C2827"/>
    <w:rsid w:val="007C2A0E"/>
    <w:rsid w:val="007C2FAC"/>
    <w:rsid w:val="007C3733"/>
    <w:rsid w:val="007C3F79"/>
    <w:rsid w:val="007C4104"/>
    <w:rsid w:val="007C4484"/>
    <w:rsid w:val="007C4566"/>
    <w:rsid w:val="007C481D"/>
    <w:rsid w:val="007C5E70"/>
    <w:rsid w:val="007C6256"/>
    <w:rsid w:val="007C6291"/>
    <w:rsid w:val="007C62CE"/>
    <w:rsid w:val="007C63A7"/>
    <w:rsid w:val="007C672C"/>
    <w:rsid w:val="007C699D"/>
    <w:rsid w:val="007C69EB"/>
    <w:rsid w:val="007C6A40"/>
    <w:rsid w:val="007C6FF3"/>
    <w:rsid w:val="007C706B"/>
    <w:rsid w:val="007C7213"/>
    <w:rsid w:val="007C7251"/>
    <w:rsid w:val="007C7496"/>
    <w:rsid w:val="007C7E0A"/>
    <w:rsid w:val="007C7F53"/>
    <w:rsid w:val="007C7FA9"/>
    <w:rsid w:val="007D0046"/>
    <w:rsid w:val="007D00D8"/>
    <w:rsid w:val="007D02CE"/>
    <w:rsid w:val="007D0430"/>
    <w:rsid w:val="007D0A69"/>
    <w:rsid w:val="007D0E88"/>
    <w:rsid w:val="007D145A"/>
    <w:rsid w:val="007D19D6"/>
    <w:rsid w:val="007D20E9"/>
    <w:rsid w:val="007D2401"/>
    <w:rsid w:val="007D2BC1"/>
    <w:rsid w:val="007D2E24"/>
    <w:rsid w:val="007D3754"/>
    <w:rsid w:val="007D3B0E"/>
    <w:rsid w:val="007D3BC4"/>
    <w:rsid w:val="007D3BEC"/>
    <w:rsid w:val="007D3D95"/>
    <w:rsid w:val="007D405E"/>
    <w:rsid w:val="007D4127"/>
    <w:rsid w:val="007D430F"/>
    <w:rsid w:val="007D5462"/>
    <w:rsid w:val="007D6EA2"/>
    <w:rsid w:val="007D70B9"/>
    <w:rsid w:val="007D7241"/>
    <w:rsid w:val="007D73D0"/>
    <w:rsid w:val="007D75CB"/>
    <w:rsid w:val="007D7BB3"/>
    <w:rsid w:val="007E06DC"/>
    <w:rsid w:val="007E09E3"/>
    <w:rsid w:val="007E0AF1"/>
    <w:rsid w:val="007E17C2"/>
    <w:rsid w:val="007E1F53"/>
    <w:rsid w:val="007E227C"/>
    <w:rsid w:val="007E2A25"/>
    <w:rsid w:val="007E2D10"/>
    <w:rsid w:val="007E31AB"/>
    <w:rsid w:val="007E32DA"/>
    <w:rsid w:val="007E32F1"/>
    <w:rsid w:val="007E33C6"/>
    <w:rsid w:val="007E35FE"/>
    <w:rsid w:val="007E3719"/>
    <w:rsid w:val="007E3D23"/>
    <w:rsid w:val="007E3D79"/>
    <w:rsid w:val="007E3E14"/>
    <w:rsid w:val="007E448E"/>
    <w:rsid w:val="007E4CC0"/>
    <w:rsid w:val="007E505C"/>
    <w:rsid w:val="007E5679"/>
    <w:rsid w:val="007E5740"/>
    <w:rsid w:val="007E57C9"/>
    <w:rsid w:val="007E5AEC"/>
    <w:rsid w:val="007E5DB0"/>
    <w:rsid w:val="007E63B4"/>
    <w:rsid w:val="007E6475"/>
    <w:rsid w:val="007E6E11"/>
    <w:rsid w:val="007E6FC9"/>
    <w:rsid w:val="007E70FB"/>
    <w:rsid w:val="007E7652"/>
    <w:rsid w:val="007E771C"/>
    <w:rsid w:val="007E7A06"/>
    <w:rsid w:val="007F07A8"/>
    <w:rsid w:val="007F09C0"/>
    <w:rsid w:val="007F09F6"/>
    <w:rsid w:val="007F0F2C"/>
    <w:rsid w:val="007F12D6"/>
    <w:rsid w:val="007F19E5"/>
    <w:rsid w:val="007F1B1E"/>
    <w:rsid w:val="007F1F35"/>
    <w:rsid w:val="007F1FAC"/>
    <w:rsid w:val="007F214E"/>
    <w:rsid w:val="007F21F6"/>
    <w:rsid w:val="007F247E"/>
    <w:rsid w:val="007F26D2"/>
    <w:rsid w:val="007F2734"/>
    <w:rsid w:val="007F2C3F"/>
    <w:rsid w:val="007F2C86"/>
    <w:rsid w:val="007F319F"/>
    <w:rsid w:val="007F3469"/>
    <w:rsid w:val="007F3B5A"/>
    <w:rsid w:val="007F3ED6"/>
    <w:rsid w:val="007F40B5"/>
    <w:rsid w:val="007F4448"/>
    <w:rsid w:val="007F4657"/>
    <w:rsid w:val="007F4C04"/>
    <w:rsid w:val="007F538C"/>
    <w:rsid w:val="007F565B"/>
    <w:rsid w:val="007F57DF"/>
    <w:rsid w:val="007F5830"/>
    <w:rsid w:val="007F5B61"/>
    <w:rsid w:val="007F5FAD"/>
    <w:rsid w:val="007F67FB"/>
    <w:rsid w:val="007F6B04"/>
    <w:rsid w:val="007F76EB"/>
    <w:rsid w:val="007F78B9"/>
    <w:rsid w:val="007F791A"/>
    <w:rsid w:val="007F7AB9"/>
    <w:rsid w:val="00800400"/>
    <w:rsid w:val="00800D97"/>
    <w:rsid w:val="008012B8"/>
    <w:rsid w:val="008012D8"/>
    <w:rsid w:val="008014B6"/>
    <w:rsid w:val="00802117"/>
    <w:rsid w:val="00802A1C"/>
    <w:rsid w:val="00802AF0"/>
    <w:rsid w:val="00802B51"/>
    <w:rsid w:val="00802BD3"/>
    <w:rsid w:val="00802C0E"/>
    <w:rsid w:val="00803454"/>
    <w:rsid w:val="00803A7D"/>
    <w:rsid w:val="00803E84"/>
    <w:rsid w:val="00804708"/>
    <w:rsid w:val="00804B2E"/>
    <w:rsid w:val="00804E04"/>
    <w:rsid w:val="00805AED"/>
    <w:rsid w:val="00805C1A"/>
    <w:rsid w:val="00806396"/>
    <w:rsid w:val="00806778"/>
    <w:rsid w:val="008068EE"/>
    <w:rsid w:val="00806B0D"/>
    <w:rsid w:val="008071D9"/>
    <w:rsid w:val="008104AF"/>
    <w:rsid w:val="008105DC"/>
    <w:rsid w:val="00810C5A"/>
    <w:rsid w:val="00810F02"/>
    <w:rsid w:val="008118A1"/>
    <w:rsid w:val="0081195E"/>
    <w:rsid w:val="00811D4A"/>
    <w:rsid w:val="00811D6F"/>
    <w:rsid w:val="00812716"/>
    <w:rsid w:val="008127AB"/>
    <w:rsid w:val="00812CB2"/>
    <w:rsid w:val="00813671"/>
    <w:rsid w:val="00813845"/>
    <w:rsid w:val="00813B44"/>
    <w:rsid w:val="00813C62"/>
    <w:rsid w:val="008141A8"/>
    <w:rsid w:val="008143BC"/>
    <w:rsid w:val="008143CB"/>
    <w:rsid w:val="008149E5"/>
    <w:rsid w:val="0081546B"/>
    <w:rsid w:val="0081559C"/>
    <w:rsid w:val="008158DC"/>
    <w:rsid w:val="00815CBF"/>
    <w:rsid w:val="00815CE4"/>
    <w:rsid w:val="008160DA"/>
    <w:rsid w:val="008165B2"/>
    <w:rsid w:val="00816D83"/>
    <w:rsid w:val="008170AE"/>
    <w:rsid w:val="008173CC"/>
    <w:rsid w:val="008176F8"/>
    <w:rsid w:val="00820139"/>
    <w:rsid w:val="00820584"/>
    <w:rsid w:val="0082070E"/>
    <w:rsid w:val="00820721"/>
    <w:rsid w:val="00820B2C"/>
    <w:rsid w:val="00820EB9"/>
    <w:rsid w:val="0082100A"/>
    <w:rsid w:val="00821222"/>
    <w:rsid w:val="008213DF"/>
    <w:rsid w:val="00821A89"/>
    <w:rsid w:val="00821AD5"/>
    <w:rsid w:val="00821B31"/>
    <w:rsid w:val="00821CAE"/>
    <w:rsid w:val="00821E75"/>
    <w:rsid w:val="0082275A"/>
    <w:rsid w:val="00823477"/>
    <w:rsid w:val="008237ED"/>
    <w:rsid w:val="00823B63"/>
    <w:rsid w:val="00823C52"/>
    <w:rsid w:val="00824CB8"/>
    <w:rsid w:val="00825EBE"/>
    <w:rsid w:val="00826050"/>
    <w:rsid w:val="008264BE"/>
    <w:rsid w:val="00826672"/>
    <w:rsid w:val="0082701F"/>
    <w:rsid w:val="008273C7"/>
    <w:rsid w:val="0082750E"/>
    <w:rsid w:val="0082783D"/>
    <w:rsid w:val="00827A6D"/>
    <w:rsid w:val="00827AC8"/>
    <w:rsid w:val="00827BAB"/>
    <w:rsid w:val="00827C03"/>
    <w:rsid w:val="008300ED"/>
    <w:rsid w:val="008300F6"/>
    <w:rsid w:val="00830867"/>
    <w:rsid w:val="00830EC4"/>
    <w:rsid w:val="00830F76"/>
    <w:rsid w:val="00831456"/>
    <w:rsid w:val="00831756"/>
    <w:rsid w:val="00832598"/>
    <w:rsid w:val="00832782"/>
    <w:rsid w:val="00832EAD"/>
    <w:rsid w:val="0083310C"/>
    <w:rsid w:val="00833F69"/>
    <w:rsid w:val="008340A8"/>
    <w:rsid w:val="0083410C"/>
    <w:rsid w:val="00834487"/>
    <w:rsid w:val="008347DB"/>
    <w:rsid w:val="0083494F"/>
    <w:rsid w:val="00834D64"/>
    <w:rsid w:val="00835C3D"/>
    <w:rsid w:val="0083643B"/>
    <w:rsid w:val="008364CC"/>
    <w:rsid w:val="0083674D"/>
    <w:rsid w:val="008367C8"/>
    <w:rsid w:val="00836FA7"/>
    <w:rsid w:val="008373FE"/>
    <w:rsid w:val="008376A4"/>
    <w:rsid w:val="008376E0"/>
    <w:rsid w:val="00837986"/>
    <w:rsid w:val="008379DF"/>
    <w:rsid w:val="00837A8F"/>
    <w:rsid w:val="00837ACA"/>
    <w:rsid w:val="00837F1B"/>
    <w:rsid w:val="0084020C"/>
    <w:rsid w:val="008406F5"/>
    <w:rsid w:val="008409EF"/>
    <w:rsid w:val="00841030"/>
    <w:rsid w:val="008412E1"/>
    <w:rsid w:val="00841456"/>
    <w:rsid w:val="008420D1"/>
    <w:rsid w:val="0084221A"/>
    <w:rsid w:val="008422DC"/>
    <w:rsid w:val="008425E0"/>
    <w:rsid w:val="008425F8"/>
    <w:rsid w:val="00842DBF"/>
    <w:rsid w:val="00842EE0"/>
    <w:rsid w:val="0084373F"/>
    <w:rsid w:val="00844057"/>
    <w:rsid w:val="00844420"/>
    <w:rsid w:val="00844618"/>
    <w:rsid w:val="0084468B"/>
    <w:rsid w:val="0084489B"/>
    <w:rsid w:val="008449EA"/>
    <w:rsid w:val="00845979"/>
    <w:rsid w:val="00845A71"/>
    <w:rsid w:val="00845C30"/>
    <w:rsid w:val="00846E90"/>
    <w:rsid w:val="008470EC"/>
    <w:rsid w:val="00847583"/>
    <w:rsid w:val="00847615"/>
    <w:rsid w:val="008477F4"/>
    <w:rsid w:val="00847864"/>
    <w:rsid w:val="00850232"/>
    <w:rsid w:val="008509A1"/>
    <w:rsid w:val="008509B5"/>
    <w:rsid w:val="008514D2"/>
    <w:rsid w:val="00851711"/>
    <w:rsid w:val="0085187F"/>
    <w:rsid w:val="00851E4E"/>
    <w:rsid w:val="0085206D"/>
    <w:rsid w:val="00852803"/>
    <w:rsid w:val="00852CEB"/>
    <w:rsid w:val="00852E0F"/>
    <w:rsid w:val="00853888"/>
    <w:rsid w:val="00853F94"/>
    <w:rsid w:val="00853FB6"/>
    <w:rsid w:val="0085416C"/>
    <w:rsid w:val="0085436B"/>
    <w:rsid w:val="00854479"/>
    <w:rsid w:val="008546D5"/>
    <w:rsid w:val="00854DFC"/>
    <w:rsid w:val="008551ED"/>
    <w:rsid w:val="00855414"/>
    <w:rsid w:val="00855A7F"/>
    <w:rsid w:val="00855E92"/>
    <w:rsid w:val="00855FAA"/>
    <w:rsid w:val="00856474"/>
    <w:rsid w:val="008569DC"/>
    <w:rsid w:val="00856CBA"/>
    <w:rsid w:val="00857236"/>
    <w:rsid w:val="00857378"/>
    <w:rsid w:val="008575B3"/>
    <w:rsid w:val="008576D6"/>
    <w:rsid w:val="008577C0"/>
    <w:rsid w:val="008601AC"/>
    <w:rsid w:val="008602F0"/>
    <w:rsid w:val="00860376"/>
    <w:rsid w:val="008607B9"/>
    <w:rsid w:val="00860F57"/>
    <w:rsid w:val="00861566"/>
    <w:rsid w:val="00861650"/>
    <w:rsid w:val="00861659"/>
    <w:rsid w:val="00861798"/>
    <w:rsid w:val="00861B25"/>
    <w:rsid w:val="00861B36"/>
    <w:rsid w:val="00861CAA"/>
    <w:rsid w:val="008620C5"/>
    <w:rsid w:val="0086259D"/>
    <w:rsid w:val="00862C5F"/>
    <w:rsid w:val="00862D9C"/>
    <w:rsid w:val="00862FB4"/>
    <w:rsid w:val="008631F1"/>
    <w:rsid w:val="00863EDD"/>
    <w:rsid w:val="00863F0F"/>
    <w:rsid w:val="0086417B"/>
    <w:rsid w:val="0086428E"/>
    <w:rsid w:val="008646EE"/>
    <w:rsid w:val="00864814"/>
    <w:rsid w:val="00864A52"/>
    <w:rsid w:val="00864C18"/>
    <w:rsid w:val="00864CC5"/>
    <w:rsid w:val="00865296"/>
    <w:rsid w:val="0086547D"/>
    <w:rsid w:val="00865521"/>
    <w:rsid w:val="00866B79"/>
    <w:rsid w:val="00867246"/>
    <w:rsid w:val="00867390"/>
    <w:rsid w:val="0087099F"/>
    <w:rsid w:val="0087135D"/>
    <w:rsid w:val="00871A10"/>
    <w:rsid w:val="00871C69"/>
    <w:rsid w:val="00871F2C"/>
    <w:rsid w:val="00872248"/>
    <w:rsid w:val="00872E86"/>
    <w:rsid w:val="008730FF"/>
    <w:rsid w:val="00873B6F"/>
    <w:rsid w:val="008748A9"/>
    <w:rsid w:val="00875395"/>
    <w:rsid w:val="00875849"/>
    <w:rsid w:val="008758A2"/>
    <w:rsid w:val="00875903"/>
    <w:rsid w:val="00875E29"/>
    <w:rsid w:val="0087619D"/>
    <w:rsid w:val="00876479"/>
    <w:rsid w:val="00877171"/>
    <w:rsid w:val="00877415"/>
    <w:rsid w:val="00877562"/>
    <w:rsid w:val="008778F7"/>
    <w:rsid w:val="00877ABE"/>
    <w:rsid w:val="00877EC8"/>
    <w:rsid w:val="00880477"/>
    <w:rsid w:val="00880993"/>
    <w:rsid w:val="00880FEB"/>
    <w:rsid w:val="00881CA7"/>
    <w:rsid w:val="008821FB"/>
    <w:rsid w:val="008832CA"/>
    <w:rsid w:val="00883362"/>
    <w:rsid w:val="00883526"/>
    <w:rsid w:val="00883C37"/>
    <w:rsid w:val="00884015"/>
    <w:rsid w:val="0088414F"/>
    <w:rsid w:val="008841DF"/>
    <w:rsid w:val="008842EA"/>
    <w:rsid w:val="00884968"/>
    <w:rsid w:val="00884DF3"/>
    <w:rsid w:val="00885566"/>
    <w:rsid w:val="00885745"/>
    <w:rsid w:val="008861DE"/>
    <w:rsid w:val="00886304"/>
    <w:rsid w:val="0088665C"/>
    <w:rsid w:val="00886685"/>
    <w:rsid w:val="00886950"/>
    <w:rsid w:val="00886B2F"/>
    <w:rsid w:val="00887304"/>
    <w:rsid w:val="008873BB"/>
    <w:rsid w:val="00887AF3"/>
    <w:rsid w:val="00887DC8"/>
    <w:rsid w:val="00887DDA"/>
    <w:rsid w:val="0089004C"/>
    <w:rsid w:val="0089009A"/>
    <w:rsid w:val="008900F1"/>
    <w:rsid w:val="00890147"/>
    <w:rsid w:val="0089046F"/>
    <w:rsid w:val="00890766"/>
    <w:rsid w:val="008907E5"/>
    <w:rsid w:val="0089174B"/>
    <w:rsid w:val="008921BB"/>
    <w:rsid w:val="00892FA7"/>
    <w:rsid w:val="008930F8"/>
    <w:rsid w:val="00893213"/>
    <w:rsid w:val="00893374"/>
    <w:rsid w:val="00893992"/>
    <w:rsid w:val="00893DE4"/>
    <w:rsid w:val="00893E14"/>
    <w:rsid w:val="0089483C"/>
    <w:rsid w:val="00894999"/>
    <w:rsid w:val="00894A25"/>
    <w:rsid w:val="00894DD7"/>
    <w:rsid w:val="00895188"/>
    <w:rsid w:val="00895858"/>
    <w:rsid w:val="00895E63"/>
    <w:rsid w:val="00895FEA"/>
    <w:rsid w:val="00896069"/>
    <w:rsid w:val="008965EE"/>
    <w:rsid w:val="00896A69"/>
    <w:rsid w:val="00896CA8"/>
    <w:rsid w:val="00896FA9"/>
    <w:rsid w:val="00897671"/>
    <w:rsid w:val="00897B02"/>
    <w:rsid w:val="00897FCE"/>
    <w:rsid w:val="008A04AA"/>
    <w:rsid w:val="008A1205"/>
    <w:rsid w:val="008A15DE"/>
    <w:rsid w:val="008A161D"/>
    <w:rsid w:val="008A169E"/>
    <w:rsid w:val="008A1C4C"/>
    <w:rsid w:val="008A1E92"/>
    <w:rsid w:val="008A1FCB"/>
    <w:rsid w:val="008A227F"/>
    <w:rsid w:val="008A3592"/>
    <w:rsid w:val="008A35F3"/>
    <w:rsid w:val="008A3680"/>
    <w:rsid w:val="008A3B2A"/>
    <w:rsid w:val="008A3B82"/>
    <w:rsid w:val="008A3C4B"/>
    <w:rsid w:val="008A3EC5"/>
    <w:rsid w:val="008A3EE1"/>
    <w:rsid w:val="008A3F93"/>
    <w:rsid w:val="008A4408"/>
    <w:rsid w:val="008A4566"/>
    <w:rsid w:val="008A4C62"/>
    <w:rsid w:val="008A5068"/>
    <w:rsid w:val="008A5A2D"/>
    <w:rsid w:val="008A5AC5"/>
    <w:rsid w:val="008A5BB3"/>
    <w:rsid w:val="008A6625"/>
    <w:rsid w:val="008A696B"/>
    <w:rsid w:val="008A6A2C"/>
    <w:rsid w:val="008A6CA5"/>
    <w:rsid w:val="008A70D7"/>
    <w:rsid w:val="008A7152"/>
    <w:rsid w:val="008A71C7"/>
    <w:rsid w:val="008A75D1"/>
    <w:rsid w:val="008A794A"/>
    <w:rsid w:val="008A79CF"/>
    <w:rsid w:val="008A7DE1"/>
    <w:rsid w:val="008B0408"/>
    <w:rsid w:val="008B1153"/>
    <w:rsid w:val="008B13B2"/>
    <w:rsid w:val="008B13C9"/>
    <w:rsid w:val="008B1BB5"/>
    <w:rsid w:val="008B1F05"/>
    <w:rsid w:val="008B259A"/>
    <w:rsid w:val="008B2BE8"/>
    <w:rsid w:val="008B32AB"/>
    <w:rsid w:val="008B33EA"/>
    <w:rsid w:val="008B3B28"/>
    <w:rsid w:val="008B3D59"/>
    <w:rsid w:val="008B3E15"/>
    <w:rsid w:val="008B3F5C"/>
    <w:rsid w:val="008B40AD"/>
    <w:rsid w:val="008B452E"/>
    <w:rsid w:val="008B47A6"/>
    <w:rsid w:val="008B50CC"/>
    <w:rsid w:val="008B5265"/>
    <w:rsid w:val="008B55B9"/>
    <w:rsid w:val="008B55E7"/>
    <w:rsid w:val="008B5665"/>
    <w:rsid w:val="008B5877"/>
    <w:rsid w:val="008B5CA0"/>
    <w:rsid w:val="008B6DBD"/>
    <w:rsid w:val="008B6EF5"/>
    <w:rsid w:val="008B6FEB"/>
    <w:rsid w:val="008B76BB"/>
    <w:rsid w:val="008B7A20"/>
    <w:rsid w:val="008B7BB5"/>
    <w:rsid w:val="008B7DA6"/>
    <w:rsid w:val="008B7F05"/>
    <w:rsid w:val="008C0517"/>
    <w:rsid w:val="008C10E6"/>
    <w:rsid w:val="008C1229"/>
    <w:rsid w:val="008C1888"/>
    <w:rsid w:val="008C18E3"/>
    <w:rsid w:val="008C1D1C"/>
    <w:rsid w:val="008C1E3A"/>
    <w:rsid w:val="008C2121"/>
    <w:rsid w:val="008C22B1"/>
    <w:rsid w:val="008C398B"/>
    <w:rsid w:val="008C3A19"/>
    <w:rsid w:val="008C4939"/>
    <w:rsid w:val="008C4952"/>
    <w:rsid w:val="008C4DDD"/>
    <w:rsid w:val="008C5644"/>
    <w:rsid w:val="008C6707"/>
    <w:rsid w:val="008C6A09"/>
    <w:rsid w:val="008C6CA7"/>
    <w:rsid w:val="008C6CDE"/>
    <w:rsid w:val="008C79F0"/>
    <w:rsid w:val="008C7FAE"/>
    <w:rsid w:val="008D0185"/>
    <w:rsid w:val="008D02C2"/>
    <w:rsid w:val="008D0444"/>
    <w:rsid w:val="008D13C8"/>
    <w:rsid w:val="008D14D0"/>
    <w:rsid w:val="008D14DA"/>
    <w:rsid w:val="008D1F4F"/>
    <w:rsid w:val="008D208B"/>
    <w:rsid w:val="008D2494"/>
    <w:rsid w:val="008D24AA"/>
    <w:rsid w:val="008D2736"/>
    <w:rsid w:val="008D2B9A"/>
    <w:rsid w:val="008D2C78"/>
    <w:rsid w:val="008D2CB4"/>
    <w:rsid w:val="008D3D7E"/>
    <w:rsid w:val="008D563E"/>
    <w:rsid w:val="008D5AB6"/>
    <w:rsid w:val="008D5E4D"/>
    <w:rsid w:val="008D6759"/>
    <w:rsid w:val="008D6D11"/>
    <w:rsid w:val="008D719A"/>
    <w:rsid w:val="008D76A1"/>
    <w:rsid w:val="008D7A58"/>
    <w:rsid w:val="008D7A7C"/>
    <w:rsid w:val="008D7EAA"/>
    <w:rsid w:val="008E04A5"/>
    <w:rsid w:val="008E077C"/>
    <w:rsid w:val="008E0A05"/>
    <w:rsid w:val="008E0C10"/>
    <w:rsid w:val="008E0EFD"/>
    <w:rsid w:val="008E12AE"/>
    <w:rsid w:val="008E1479"/>
    <w:rsid w:val="008E15CD"/>
    <w:rsid w:val="008E1793"/>
    <w:rsid w:val="008E18BD"/>
    <w:rsid w:val="008E1A2F"/>
    <w:rsid w:val="008E1C57"/>
    <w:rsid w:val="008E1CF1"/>
    <w:rsid w:val="008E1DDC"/>
    <w:rsid w:val="008E231C"/>
    <w:rsid w:val="008E257B"/>
    <w:rsid w:val="008E2BF1"/>
    <w:rsid w:val="008E31ED"/>
    <w:rsid w:val="008E35EA"/>
    <w:rsid w:val="008E3727"/>
    <w:rsid w:val="008E3D5E"/>
    <w:rsid w:val="008E40F4"/>
    <w:rsid w:val="008E42A1"/>
    <w:rsid w:val="008E466C"/>
    <w:rsid w:val="008E4B03"/>
    <w:rsid w:val="008E4CD9"/>
    <w:rsid w:val="008E57AA"/>
    <w:rsid w:val="008E5A4E"/>
    <w:rsid w:val="008E5D89"/>
    <w:rsid w:val="008E6599"/>
    <w:rsid w:val="008E6B92"/>
    <w:rsid w:val="008E74AF"/>
    <w:rsid w:val="008E7C80"/>
    <w:rsid w:val="008F0027"/>
    <w:rsid w:val="008F01AB"/>
    <w:rsid w:val="008F06BC"/>
    <w:rsid w:val="008F0CEA"/>
    <w:rsid w:val="008F0F3E"/>
    <w:rsid w:val="008F1034"/>
    <w:rsid w:val="008F10DF"/>
    <w:rsid w:val="008F15F0"/>
    <w:rsid w:val="008F16F2"/>
    <w:rsid w:val="008F178C"/>
    <w:rsid w:val="008F1909"/>
    <w:rsid w:val="008F21C6"/>
    <w:rsid w:val="008F2217"/>
    <w:rsid w:val="008F267B"/>
    <w:rsid w:val="008F2785"/>
    <w:rsid w:val="008F28A5"/>
    <w:rsid w:val="008F297E"/>
    <w:rsid w:val="008F3738"/>
    <w:rsid w:val="008F48BB"/>
    <w:rsid w:val="008F4ABF"/>
    <w:rsid w:val="008F4EF9"/>
    <w:rsid w:val="008F51CA"/>
    <w:rsid w:val="008F5BF4"/>
    <w:rsid w:val="008F5CA1"/>
    <w:rsid w:val="008F5E92"/>
    <w:rsid w:val="008F6504"/>
    <w:rsid w:val="008F67F6"/>
    <w:rsid w:val="008F6EFC"/>
    <w:rsid w:val="008F7386"/>
    <w:rsid w:val="008F7B05"/>
    <w:rsid w:val="00900B91"/>
    <w:rsid w:val="00900BAE"/>
    <w:rsid w:val="00900CF1"/>
    <w:rsid w:val="00900E82"/>
    <w:rsid w:val="00901269"/>
    <w:rsid w:val="00901273"/>
    <w:rsid w:val="0090134D"/>
    <w:rsid w:val="009013BF"/>
    <w:rsid w:val="009014C3"/>
    <w:rsid w:val="0090153E"/>
    <w:rsid w:val="00901640"/>
    <w:rsid w:val="009017ED"/>
    <w:rsid w:val="0090215B"/>
    <w:rsid w:val="009022AD"/>
    <w:rsid w:val="0090296B"/>
    <w:rsid w:val="00902ECB"/>
    <w:rsid w:val="0090328C"/>
    <w:rsid w:val="009032E9"/>
    <w:rsid w:val="00903BE9"/>
    <w:rsid w:val="00903C3D"/>
    <w:rsid w:val="00904611"/>
    <w:rsid w:val="00904720"/>
    <w:rsid w:val="00904814"/>
    <w:rsid w:val="009048D7"/>
    <w:rsid w:val="0090599B"/>
    <w:rsid w:val="00905EF3"/>
    <w:rsid w:val="00905FC6"/>
    <w:rsid w:val="00905FC9"/>
    <w:rsid w:val="00905FD6"/>
    <w:rsid w:val="0090657B"/>
    <w:rsid w:val="00906F20"/>
    <w:rsid w:val="00906F64"/>
    <w:rsid w:val="009073A3"/>
    <w:rsid w:val="0090759B"/>
    <w:rsid w:val="00907D65"/>
    <w:rsid w:val="0091023A"/>
    <w:rsid w:val="00910558"/>
    <w:rsid w:val="00911081"/>
    <w:rsid w:val="00911244"/>
    <w:rsid w:val="0091240A"/>
    <w:rsid w:val="009127FF"/>
    <w:rsid w:val="0091280C"/>
    <w:rsid w:val="00912D06"/>
    <w:rsid w:val="00912D4C"/>
    <w:rsid w:val="00913C9A"/>
    <w:rsid w:val="00914033"/>
    <w:rsid w:val="00914981"/>
    <w:rsid w:val="00914988"/>
    <w:rsid w:val="00914C64"/>
    <w:rsid w:val="009156FE"/>
    <w:rsid w:val="00915D74"/>
    <w:rsid w:val="009169B2"/>
    <w:rsid w:val="00916DE3"/>
    <w:rsid w:val="00916F7F"/>
    <w:rsid w:val="00917331"/>
    <w:rsid w:val="009177FB"/>
    <w:rsid w:val="009178E1"/>
    <w:rsid w:val="00917A89"/>
    <w:rsid w:val="00917C38"/>
    <w:rsid w:val="00917D92"/>
    <w:rsid w:val="009204E6"/>
    <w:rsid w:val="009205E0"/>
    <w:rsid w:val="00920A4F"/>
    <w:rsid w:val="00920FA9"/>
    <w:rsid w:val="0092158A"/>
    <w:rsid w:val="00921BD2"/>
    <w:rsid w:val="00921C05"/>
    <w:rsid w:val="00921DFE"/>
    <w:rsid w:val="00922742"/>
    <w:rsid w:val="00922A68"/>
    <w:rsid w:val="00922A7B"/>
    <w:rsid w:val="00922DFF"/>
    <w:rsid w:val="00922F63"/>
    <w:rsid w:val="00923376"/>
    <w:rsid w:val="0092343D"/>
    <w:rsid w:val="009237CE"/>
    <w:rsid w:val="00923962"/>
    <w:rsid w:val="00923CDC"/>
    <w:rsid w:val="00924086"/>
    <w:rsid w:val="0092442D"/>
    <w:rsid w:val="00924705"/>
    <w:rsid w:val="00924C9A"/>
    <w:rsid w:val="0092511D"/>
    <w:rsid w:val="00925120"/>
    <w:rsid w:val="00925BC5"/>
    <w:rsid w:val="00925D9E"/>
    <w:rsid w:val="00925EEE"/>
    <w:rsid w:val="00926416"/>
    <w:rsid w:val="0092643E"/>
    <w:rsid w:val="0092685C"/>
    <w:rsid w:val="00926B7A"/>
    <w:rsid w:val="00927089"/>
    <w:rsid w:val="00927443"/>
    <w:rsid w:val="009274DA"/>
    <w:rsid w:val="0092751B"/>
    <w:rsid w:val="00927983"/>
    <w:rsid w:val="00930402"/>
    <w:rsid w:val="00930518"/>
    <w:rsid w:val="009305EE"/>
    <w:rsid w:val="009308BE"/>
    <w:rsid w:val="00930C27"/>
    <w:rsid w:val="00931000"/>
    <w:rsid w:val="00931602"/>
    <w:rsid w:val="00931942"/>
    <w:rsid w:val="00931A5A"/>
    <w:rsid w:val="00931B45"/>
    <w:rsid w:val="0093223A"/>
    <w:rsid w:val="0093244C"/>
    <w:rsid w:val="009324B9"/>
    <w:rsid w:val="0093270B"/>
    <w:rsid w:val="00932955"/>
    <w:rsid w:val="00932A5E"/>
    <w:rsid w:val="009331BA"/>
    <w:rsid w:val="0093329E"/>
    <w:rsid w:val="00933840"/>
    <w:rsid w:val="009338AA"/>
    <w:rsid w:val="00933FD4"/>
    <w:rsid w:val="00934449"/>
    <w:rsid w:val="009346E0"/>
    <w:rsid w:val="009350A7"/>
    <w:rsid w:val="00935CF6"/>
    <w:rsid w:val="0093615C"/>
    <w:rsid w:val="00936408"/>
    <w:rsid w:val="00937116"/>
    <w:rsid w:val="009377EA"/>
    <w:rsid w:val="00937A7D"/>
    <w:rsid w:val="00937DD5"/>
    <w:rsid w:val="009404A4"/>
    <w:rsid w:val="00940ED4"/>
    <w:rsid w:val="00940FC3"/>
    <w:rsid w:val="009411F8"/>
    <w:rsid w:val="009413C6"/>
    <w:rsid w:val="00942305"/>
    <w:rsid w:val="00942346"/>
    <w:rsid w:val="009429F4"/>
    <w:rsid w:val="00942AA5"/>
    <w:rsid w:val="00943242"/>
    <w:rsid w:val="00943295"/>
    <w:rsid w:val="00943529"/>
    <w:rsid w:val="0094385A"/>
    <w:rsid w:val="00943C99"/>
    <w:rsid w:val="00943C9C"/>
    <w:rsid w:val="00944C9D"/>
    <w:rsid w:val="00945241"/>
    <w:rsid w:val="009456BF"/>
    <w:rsid w:val="00945C25"/>
    <w:rsid w:val="00945E18"/>
    <w:rsid w:val="00945F24"/>
    <w:rsid w:val="0094603F"/>
    <w:rsid w:val="0094665D"/>
    <w:rsid w:val="009469E4"/>
    <w:rsid w:val="00947126"/>
    <w:rsid w:val="0094744E"/>
    <w:rsid w:val="00947B65"/>
    <w:rsid w:val="00947B7A"/>
    <w:rsid w:val="00950110"/>
    <w:rsid w:val="00950227"/>
    <w:rsid w:val="009503A5"/>
    <w:rsid w:val="009503D1"/>
    <w:rsid w:val="00950584"/>
    <w:rsid w:val="00950779"/>
    <w:rsid w:val="0095091F"/>
    <w:rsid w:val="00950CA3"/>
    <w:rsid w:val="00951219"/>
    <w:rsid w:val="00951454"/>
    <w:rsid w:val="009514A9"/>
    <w:rsid w:val="009519F3"/>
    <w:rsid w:val="00951A25"/>
    <w:rsid w:val="00951CF9"/>
    <w:rsid w:val="00951DEB"/>
    <w:rsid w:val="00951F71"/>
    <w:rsid w:val="00951F88"/>
    <w:rsid w:val="00952114"/>
    <w:rsid w:val="00952338"/>
    <w:rsid w:val="0095320E"/>
    <w:rsid w:val="00953AFE"/>
    <w:rsid w:val="00954095"/>
    <w:rsid w:val="0095419D"/>
    <w:rsid w:val="0095456C"/>
    <w:rsid w:val="009545A2"/>
    <w:rsid w:val="0095468C"/>
    <w:rsid w:val="00954BDF"/>
    <w:rsid w:val="00954EB1"/>
    <w:rsid w:val="00954F49"/>
    <w:rsid w:val="009555A3"/>
    <w:rsid w:val="00955C55"/>
    <w:rsid w:val="00955E6F"/>
    <w:rsid w:val="00957021"/>
    <w:rsid w:val="00957788"/>
    <w:rsid w:val="00957B49"/>
    <w:rsid w:val="009608B4"/>
    <w:rsid w:val="00960A83"/>
    <w:rsid w:val="00961955"/>
    <w:rsid w:val="0096225D"/>
    <w:rsid w:val="00962295"/>
    <w:rsid w:val="00962549"/>
    <w:rsid w:val="00962565"/>
    <w:rsid w:val="00962A00"/>
    <w:rsid w:val="00962B74"/>
    <w:rsid w:val="00963234"/>
    <w:rsid w:val="009632A7"/>
    <w:rsid w:val="00963BC9"/>
    <w:rsid w:val="009643FC"/>
    <w:rsid w:val="00964A60"/>
    <w:rsid w:val="00964CBD"/>
    <w:rsid w:val="00964DEB"/>
    <w:rsid w:val="00965463"/>
    <w:rsid w:val="009657BA"/>
    <w:rsid w:val="00965A05"/>
    <w:rsid w:val="00965B1D"/>
    <w:rsid w:val="00966044"/>
    <w:rsid w:val="0096635E"/>
    <w:rsid w:val="009663B9"/>
    <w:rsid w:val="009666D1"/>
    <w:rsid w:val="00966A6F"/>
    <w:rsid w:val="00966A89"/>
    <w:rsid w:val="009671FC"/>
    <w:rsid w:val="009674AB"/>
    <w:rsid w:val="009700C1"/>
    <w:rsid w:val="009700C5"/>
    <w:rsid w:val="00970599"/>
    <w:rsid w:val="00970ED3"/>
    <w:rsid w:val="009715BD"/>
    <w:rsid w:val="0097165B"/>
    <w:rsid w:val="00971FED"/>
    <w:rsid w:val="00972055"/>
    <w:rsid w:val="00972540"/>
    <w:rsid w:val="00972FA7"/>
    <w:rsid w:val="009732E5"/>
    <w:rsid w:val="00974429"/>
    <w:rsid w:val="00975E21"/>
    <w:rsid w:val="00976058"/>
    <w:rsid w:val="00976D19"/>
    <w:rsid w:val="00976FF4"/>
    <w:rsid w:val="009770B4"/>
    <w:rsid w:val="009779FF"/>
    <w:rsid w:val="00977F29"/>
    <w:rsid w:val="00980074"/>
    <w:rsid w:val="0098080D"/>
    <w:rsid w:val="0098087C"/>
    <w:rsid w:val="009808F3"/>
    <w:rsid w:val="0098091A"/>
    <w:rsid w:val="009810CF"/>
    <w:rsid w:val="009811BB"/>
    <w:rsid w:val="009812A9"/>
    <w:rsid w:val="009815BB"/>
    <w:rsid w:val="00981717"/>
    <w:rsid w:val="00981DA6"/>
    <w:rsid w:val="00982D34"/>
    <w:rsid w:val="00982FF9"/>
    <w:rsid w:val="009830A3"/>
    <w:rsid w:val="009834A3"/>
    <w:rsid w:val="009834D6"/>
    <w:rsid w:val="009835E1"/>
    <w:rsid w:val="00983F83"/>
    <w:rsid w:val="00984A37"/>
    <w:rsid w:val="009853C4"/>
    <w:rsid w:val="0098561C"/>
    <w:rsid w:val="009859C5"/>
    <w:rsid w:val="00985AF0"/>
    <w:rsid w:val="00986030"/>
    <w:rsid w:val="00986609"/>
    <w:rsid w:val="0098763B"/>
    <w:rsid w:val="0098788D"/>
    <w:rsid w:val="00987A8C"/>
    <w:rsid w:val="009902B7"/>
    <w:rsid w:val="009903CC"/>
    <w:rsid w:val="00990515"/>
    <w:rsid w:val="00990909"/>
    <w:rsid w:val="00990CEA"/>
    <w:rsid w:val="0099125B"/>
    <w:rsid w:val="00991824"/>
    <w:rsid w:val="0099197C"/>
    <w:rsid w:val="00991BBA"/>
    <w:rsid w:val="00991D62"/>
    <w:rsid w:val="009927B9"/>
    <w:rsid w:val="00992AAF"/>
    <w:rsid w:val="00993BFF"/>
    <w:rsid w:val="00993E44"/>
    <w:rsid w:val="00993FA9"/>
    <w:rsid w:val="0099404D"/>
    <w:rsid w:val="009940E7"/>
    <w:rsid w:val="00994651"/>
    <w:rsid w:val="00994AC7"/>
    <w:rsid w:val="0099582A"/>
    <w:rsid w:val="009959C7"/>
    <w:rsid w:val="00995D0A"/>
    <w:rsid w:val="00996EB8"/>
    <w:rsid w:val="0099706D"/>
    <w:rsid w:val="00997A9A"/>
    <w:rsid w:val="00997CB7"/>
    <w:rsid w:val="00997D1C"/>
    <w:rsid w:val="00997FC9"/>
    <w:rsid w:val="009A03E2"/>
    <w:rsid w:val="009A04B6"/>
    <w:rsid w:val="009A053E"/>
    <w:rsid w:val="009A0667"/>
    <w:rsid w:val="009A0AF2"/>
    <w:rsid w:val="009A0B7D"/>
    <w:rsid w:val="009A0D17"/>
    <w:rsid w:val="009A0FF8"/>
    <w:rsid w:val="009A1DBB"/>
    <w:rsid w:val="009A24D8"/>
    <w:rsid w:val="009A25FE"/>
    <w:rsid w:val="009A266D"/>
    <w:rsid w:val="009A294F"/>
    <w:rsid w:val="009A2B22"/>
    <w:rsid w:val="009A2C0E"/>
    <w:rsid w:val="009A2C56"/>
    <w:rsid w:val="009A3003"/>
    <w:rsid w:val="009A32CA"/>
    <w:rsid w:val="009A3811"/>
    <w:rsid w:val="009A3854"/>
    <w:rsid w:val="009A3E9B"/>
    <w:rsid w:val="009A4111"/>
    <w:rsid w:val="009A41D8"/>
    <w:rsid w:val="009A4517"/>
    <w:rsid w:val="009A45EE"/>
    <w:rsid w:val="009A47CA"/>
    <w:rsid w:val="009A4893"/>
    <w:rsid w:val="009A4962"/>
    <w:rsid w:val="009A529A"/>
    <w:rsid w:val="009A5850"/>
    <w:rsid w:val="009A5A7B"/>
    <w:rsid w:val="009A6031"/>
    <w:rsid w:val="009A6033"/>
    <w:rsid w:val="009A66C8"/>
    <w:rsid w:val="009A6713"/>
    <w:rsid w:val="009A6B89"/>
    <w:rsid w:val="009A6C0C"/>
    <w:rsid w:val="009A6CFE"/>
    <w:rsid w:val="009A7451"/>
    <w:rsid w:val="009A752B"/>
    <w:rsid w:val="009A78C1"/>
    <w:rsid w:val="009A7E2F"/>
    <w:rsid w:val="009A7F94"/>
    <w:rsid w:val="009B039A"/>
    <w:rsid w:val="009B03B0"/>
    <w:rsid w:val="009B03B8"/>
    <w:rsid w:val="009B0C14"/>
    <w:rsid w:val="009B0D96"/>
    <w:rsid w:val="009B0EEA"/>
    <w:rsid w:val="009B17A4"/>
    <w:rsid w:val="009B204B"/>
    <w:rsid w:val="009B23DA"/>
    <w:rsid w:val="009B259A"/>
    <w:rsid w:val="009B2E7F"/>
    <w:rsid w:val="009B3491"/>
    <w:rsid w:val="009B393E"/>
    <w:rsid w:val="009B3BB4"/>
    <w:rsid w:val="009B4FEA"/>
    <w:rsid w:val="009B50DE"/>
    <w:rsid w:val="009B5E12"/>
    <w:rsid w:val="009B6128"/>
    <w:rsid w:val="009B6600"/>
    <w:rsid w:val="009B6BA0"/>
    <w:rsid w:val="009B6CD2"/>
    <w:rsid w:val="009B791D"/>
    <w:rsid w:val="009B7BDD"/>
    <w:rsid w:val="009C0107"/>
    <w:rsid w:val="009C053E"/>
    <w:rsid w:val="009C07F0"/>
    <w:rsid w:val="009C0895"/>
    <w:rsid w:val="009C096B"/>
    <w:rsid w:val="009C0977"/>
    <w:rsid w:val="009C0BDB"/>
    <w:rsid w:val="009C1F60"/>
    <w:rsid w:val="009C2764"/>
    <w:rsid w:val="009C27ED"/>
    <w:rsid w:val="009C28BB"/>
    <w:rsid w:val="009C2E0C"/>
    <w:rsid w:val="009C3135"/>
    <w:rsid w:val="009C3CBE"/>
    <w:rsid w:val="009C4170"/>
    <w:rsid w:val="009C4187"/>
    <w:rsid w:val="009C43E9"/>
    <w:rsid w:val="009C44E2"/>
    <w:rsid w:val="009C46A1"/>
    <w:rsid w:val="009C4B93"/>
    <w:rsid w:val="009C5053"/>
    <w:rsid w:val="009C5129"/>
    <w:rsid w:val="009C5142"/>
    <w:rsid w:val="009C51C7"/>
    <w:rsid w:val="009C52E5"/>
    <w:rsid w:val="009C5947"/>
    <w:rsid w:val="009C5BE5"/>
    <w:rsid w:val="009C6070"/>
    <w:rsid w:val="009C63C6"/>
    <w:rsid w:val="009C6738"/>
    <w:rsid w:val="009C6B32"/>
    <w:rsid w:val="009C6E5E"/>
    <w:rsid w:val="009C7156"/>
    <w:rsid w:val="009C72D2"/>
    <w:rsid w:val="009C7A9C"/>
    <w:rsid w:val="009D0295"/>
    <w:rsid w:val="009D0597"/>
    <w:rsid w:val="009D123D"/>
    <w:rsid w:val="009D1E85"/>
    <w:rsid w:val="009D2245"/>
    <w:rsid w:val="009D28C9"/>
    <w:rsid w:val="009D307D"/>
    <w:rsid w:val="009D30A2"/>
    <w:rsid w:val="009D3103"/>
    <w:rsid w:val="009D3157"/>
    <w:rsid w:val="009D33C9"/>
    <w:rsid w:val="009D349D"/>
    <w:rsid w:val="009D36AF"/>
    <w:rsid w:val="009D38F6"/>
    <w:rsid w:val="009D3F5A"/>
    <w:rsid w:val="009D4222"/>
    <w:rsid w:val="009D4A61"/>
    <w:rsid w:val="009D4C65"/>
    <w:rsid w:val="009D4E0E"/>
    <w:rsid w:val="009D520B"/>
    <w:rsid w:val="009D5633"/>
    <w:rsid w:val="009D5706"/>
    <w:rsid w:val="009D5950"/>
    <w:rsid w:val="009D5AD3"/>
    <w:rsid w:val="009D617D"/>
    <w:rsid w:val="009D67B9"/>
    <w:rsid w:val="009D6ABC"/>
    <w:rsid w:val="009D6B08"/>
    <w:rsid w:val="009D6F96"/>
    <w:rsid w:val="009D71B4"/>
    <w:rsid w:val="009D732A"/>
    <w:rsid w:val="009D73CD"/>
    <w:rsid w:val="009D77B2"/>
    <w:rsid w:val="009D7996"/>
    <w:rsid w:val="009D7B99"/>
    <w:rsid w:val="009D7C40"/>
    <w:rsid w:val="009D7F1D"/>
    <w:rsid w:val="009D7FD4"/>
    <w:rsid w:val="009E00E4"/>
    <w:rsid w:val="009E036E"/>
    <w:rsid w:val="009E0485"/>
    <w:rsid w:val="009E0647"/>
    <w:rsid w:val="009E0BF9"/>
    <w:rsid w:val="009E0C0A"/>
    <w:rsid w:val="009E0CCD"/>
    <w:rsid w:val="009E0D59"/>
    <w:rsid w:val="009E1A44"/>
    <w:rsid w:val="009E1AB6"/>
    <w:rsid w:val="009E2073"/>
    <w:rsid w:val="009E2333"/>
    <w:rsid w:val="009E2993"/>
    <w:rsid w:val="009E2F82"/>
    <w:rsid w:val="009E3217"/>
    <w:rsid w:val="009E3639"/>
    <w:rsid w:val="009E399E"/>
    <w:rsid w:val="009E3FDE"/>
    <w:rsid w:val="009E48AC"/>
    <w:rsid w:val="009E4C50"/>
    <w:rsid w:val="009E548D"/>
    <w:rsid w:val="009E5B58"/>
    <w:rsid w:val="009E5C94"/>
    <w:rsid w:val="009E5E05"/>
    <w:rsid w:val="009E60F4"/>
    <w:rsid w:val="009E63EC"/>
    <w:rsid w:val="009E648A"/>
    <w:rsid w:val="009E67D9"/>
    <w:rsid w:val="009E6817"/>
    <w:rsid w:val="009E6EF1"/>
    <w:rsid w:val="009E755C"/>
    <w:rsid w:val="009E7A9F"/>
    <w:rsid w:val="009F02AA"/>
    <w:rsid w:val="009F09FC"/>
    <w:rsid w:val="009F0DB1"/>
    <w:rsid w:val="009F1065"/>
    <w:rsid w:val="009F1522"/>
    <w:rsid w:val="009F17D5"/>
    <w:rsid w:val="009F1A5B"/>
    <w:rsid w:val="009F1FDA"/>
    <w:rsid w:val="009F2199"/>
    <w:rsid w:val="009F27DB"/>
    <w:rsid w:val="009F2CC5"/>
    <w:rsid w:val="009F2D7E"/>
    <w:rsid w:val="009F2DC0"/>
    <w:rsid w:val="009F2E2E"/>
    <w:rsid w:val="009F2E90"/>
    <w:rsid w:val="009F30F8"/>
    <w:rsid w:val="009F327E"/>
    <w:rsid w:val="009F330D"/>
    <w:rsid w:val="009F3610"/>
    <w:rsid w:val="009F365B"/>
    <w:rsid w:val="009F367F"/>
    <w:rsid w:val="009F3D32"/>
    <w:rsid w:val="009F3E78"/>
    <w:rsid w:val="009F40DC"/>
    <w:rsid w:val="009F411D"/>
    <w:rsid w:val="009F4542"/>
    <w:rsid w:val="009F4822"/>
    <w:rsid w:val="009F5906"/>
    <w:rsid w:val="009F5BE7"/>
    <w:rsid w:val="009F610E"/>
    <w:rsid w:val="009F6E61"/>
    <w:rsid w:val="009F6FF4"/>
    <w:rsid w:val="009F773B"/>
    <w:rsid w:val="009F77F0"/>
    <w:rsid w:val="009F7C05"/>
    <w:rsid w:val="009F7E40"/>
    <w:rsid w:val="009F7E63"/>
    <w:rsid w:val="00A0010E"/>
    <w:rsid w:val="00A004E2"/>
    <w:rsid w:val="00A006E6"/>
    <w:rsid w:val="00A00847"/>
    <w:rsid w:val="00A01498"/>
    <w:rsid w:val="00A0156B"/>
    <w:rsid w:val="00A01B6B"/>
    <w:rsid w:val="00A01C81"/>
    <w:rsid w:val="00A01E31"/>
    <w:rsid w:val="00A0201E"/>
    <w:rsid w:val="00A0222D"/>
    <w:rsid w:val="00A025BB"/>
    <w:rsid w:val="00A0277C"/>
    <w:rsid w:val="00A0332C"/>
    <w:rsid w:val="00A03529"/>
    <w:rsid w:val="00A03905"/>
    <w:rsid w:val="00A03955"/>
    <w:rsid w:val="00A0414F"/>
    <w:rsid w:val="00A04347"/>
    <w:rsid w:val="00A04391"/>
    <w:rsid w:val="00A04E63"/>
    <w:rsid w:val="00A05266"/>
    <w:rsid w:val="00A05FC5"/>
    <w:rsid w:val="00A06069"/>
    <w:rsid w:val="00A0606A"/>
    <w:rsid w:val="00A0623A"/>
    <w:rsid w:val="00A06378"/>
    <w:rsid w:val="00A069F7"/>
    <w:rsid w:val="00A074F7"/>
    <w:rsid w:val="00A07611"/>
    <w:rsid w:val="00A078B6"/>
    <w:rsid w:val="00A0796E"/>
    <w:rsid w:val="00A07FA8"/>
    <w:rsid w:val="00A10758"/>
    <w:rsid w:val="00A10A37"/>
    <w:rsid w:val="00A10AF5"/>
    <w:rsid w:val="00A10F5C"/>
    <w:rsid w:val="00A11317"/>
    <w:rsid w:val="00A113B9"/>
    <w:rsid w:val="00A126B4"/>
    <w:rsid w:val="00A1277C"/>
    <w:rsid w:val="00A129CC"/>
    <w:rsid w:val="00A12D77"/>
    <w:rsid w:val="00A12DE7"/>
    <w:rsid w:val="00A13330"/>
    <w:rsid w:val="00A1374D"/>
    <w:rsid w:val="00A1397A"/>
    <w:rsid w:val="00A13A79"/>
    <w:rsid w:val="00A13F1B"/>
    <w:rsid w:val="00A1456E"/>
    <w:rsid w:val="00A145BD"/>
    <w:rsid w:val="00A14888"/>
    <w:rsid w:val="00A14A1B"/>
    <w:rsid w:val="00A14C8B"/>
    <w:rsid w:val="00A14C9F"/>
    <w:rsid w:val="00A14DA5"/>
    <w:rsid w:val="00A14E01"/>
    <w:rsid w:val="00A1507E"/>
    <w:rsid w:val="00A15452"/>
    <w:rsid w:val="00A155D9"/>
    <w:rsid w:val="00A15635"/>
    <w:rsid w:val="00A1576F"/>
    <w:rsid w:val="00A158D0"/>
    <w:rsid w:val="00A1596E"/>
    <w:rsid w:val="00A164A0"/>
    <w:rsid w:val="00A16765"/>
    <w:rsid w:val="00A16A3C"/>
    <w:rsid w:val="00A16A53"/>
    <w:rsid w:val="00A16B84"/>
    <w:rsid w:val="00A16D71"/>
    <w:rsid w:val="00A17F9B"/>
    <w:rsid w:val="00A17FEC"/>
    <w:rsid w:val="00A20049"/>
    <w:rsid w:val="00A20B98"/>
    <w:rsid w:val="00A2124D"/>
    <w:rsid w:val="00A21BB9"/>
    <w:rsid w:val="00A21CB1"/>
    <w:rsid w:val="00A22431"/>
    <w:rsid w:val="00A224E0"/>
    <w:rsid w:val="00A22596"/>
    <w:rsid w:val="00A227AB"/>
    <w:rsid w:val="00A22C09"/>
    <w:rsid w:val="00A22C69"/>
    <w:rsid w:val="00A22F4A"/>
    <w:rsid w:val="00A2360D"/>
    <w:rsid w:val="00A236D4"/>
    <w:rsid w:val="00A23BD9"/>
    <w:rsid w:val="00A23C4A"/>
    <w:rsid w:val="00A24766"/>
    <w:rsid w:val="00A24CF8"/>
    <w:rsid w:val="00A24F4C"/>
    <w:rsid w:val="00A25309"/>
    <w:rsid w:val="00A2533B"/>
    <w:rsid w:val="00A254DF"/>
    <w:rsid w:val="00A254EF"/>
    <w:rsid w:val="00A25BA8"/>
    <w:rsid w:val="00A261A4"/>
    <w:rsid w:val="00A26742"/>
    <w:rsid w:val="00A2697C"/>
    <w:rsid w:val="00A26BD3"/>
    <w:rsid w:val="00A26EA0"/>
    <w:rsid w:val="00A27253"/>
    <w:rsid w:val="00A3026F"/>
    <w:rsid w:val="00A303C8"/>
    <w:rsid w:val="00A30809"/>
    <w:rsid w:val="00A30DEE"/>
    <w:rsid w:val="00A30F84"/>
    <w:rsid w:val="00A31263"/>
    <w:rsid w:val="00A31363"/>
    <w:rsid w:val="00A314A6"/>
    <w:rsid w:val="00A31F51"/>
    <w:rsid w:val="00A32478"/>
    <w:rsid w:val="00A328DC"/>
    <w:rsid w:val="00A32E50"/>
    <w:rsid w:val="00A33042"/>
    <w:rsid w:val="00A3318F"/>
    <w:rsid w:val="00A331A1"/>
    <w:rsid w:val="00A339BE"/>
    <w:rsid w:val="00A33B72"/>
    <w:rsid w:val="00A33C9E"/>
    <w:rsid w:val="00A349A8"/>
    <w:rsid w:val="00A34C83"/>
    <w:rsid w:val="00A34CDC"/>
    <w:rsid w:val="00A35041"/>
    <w:rsid w:val="00A3527A"/>
    <w:rsid w:val="00A3530E"/>
    <w:rsid w:val="00A357B2"/>
    <w:rsid w:val="00A3591E"/>
    <w:rsid w:val="00A360E1"/>
    <w:rsid w:val="00A36180"/>
    <w:rsid w:val="00A363A0"/>
    <w:rsid w:val="00A363B6"/>
    <w:rsid w:val="00A36663"/>
    <w:rsid w:val="00A3684E"/>
    <w:rsid w:val="00A36992"/>
    <w:rsid w:val="00A36AFE"/>
    <w:rsid w:val="00A36B2A"/>
    <w:rsid w:val="00A36F2F"/>
    <w:rsid w:val="00A3725B"/>
    <w:rsid w:val="00A37545"/>
    <w:rsid w:val="00A37899"/>
    <w:rsid w:val="00A37A4F"/>
    <w:rsid w:val="00A37DA5"/>
    <w:rsid w:val="00A37FA5"/>
    <w:rsid w:val="00A40652"/>
    <w:rsid w:val="00A40A0C"/>
    <w:rsid w:val="00A40B4D"/>
    <w:rsid w:val="00A40EDB"/>
    <w:rsid w:val="00A410BC"/>
    <w:rsid w:val="00A416C4"/>
    <w:rsid w:val="00A41FFB"/>
    <w:rsid w:val="00A42A77"/>
    <w:rsid w:val="00A42B73"/>
    <w:rsid w:val="00A42B77"/>
    <w:rsid w:val="00A42C1D"/>
    <w:rsid w:val="00A42ECB"/>
    <w:rsid w:val="00A42F2F"/>
    <w:rsid w:val="00A43271"/>
    <w:rsid w:val="00A43336"/>
    <w:rsid w:val="00A4347F"/>
    <w:rsid w:val="00A434A1"/>
    <w:rsid w:val="00A43545"/>
    <w:rsid w:val="00A435E1"/>
    <w:rsid w:val="00A43ADD"/>
    <w:rsid w:val="00A43F38"/>
    <w:rsid w:val="00A44505"/>
    <w:rsid w:val="00A4479E"/>
    <w:rsid w:val="00A448DC"/>
    <w:rsid w:val="00A44910"/>
    <w:rsid w:val="00A44954"/>
    <w:rsid w:val="00A44DE1"/>
    <w:rsid w:val="00A450AC"/>
    <w:rsid w:val="00A4533A"/>
    <w:rsid w:val="00A456A3"/>
    <w:rsid w:val="00A457DC"/>
    <w:rsid w:val="00A45F05"/>
    <w:rsid w:val="00A467E8"/>
    <w:rsid w:val="00A471EC"/>
    <w:rsid w:val="00A47A63"/>
    <w:rsid w:val="00A47AB7"/>
    <w:rsid w:val="00A47B1E"/>
    <w:rsid w:val="00A47D4C"/>
    <w:rsid w:val="00A47F2D"/>
    <w:rsid w:val="00A5022D"/>
    <w:rsid w:val="00A502AD"/>
    <w:rsid w:val="00A5094B"/>
    <w:rsid w:val="00A50EC1"/>
    <w:rsid w:val="00A50FB7"/>
    <w:rsid w:val="00A5137A"/>
    <w:rsid w:val="00A5139D"/>
    <w:rsid w:val="00A51A4A"/>
    <w:rsid w:val="00A51C23"/>
    <w:rsid w:val="00A52742"/>
    <w:rsid w:val="00A53279"/>
    <w:rsid w:val="00A5327B"/>
    <w:rsid w:val="00A532DE"/>
    <w:rsid w:val="00A532F6"/>
    <w:rsid w:val="00A533DA"/>
    <w:rsid w:val="00A53650"/>
    <w:rsid w:val="00A53E1C"/>
    <w:rsid w:val="00A53F55"/>
    <w:rsid w:val="00A54716"/>
    <w:rsid w:val="00A54813"/>
    <w:rsid w:val="00A54A7D"/>
    <w:rsid w:val="00A54E23"/>
    <w:rsid w:val="00A550EE"/>
    <w:rsid w:val="00A555F4"/>
    <w:rsid w:val="00A55C27"/>
    <w:rsid w:val="00A56198"/>
    <w:rsid w:val="00A56308"/>
    <w:rsid w:val="00A567CC"/>
    <w:rsid w:val="00A567F2"/>
    <w:rsid w:val="00A56C2C"/>
    <w:rsid w:val="00A56E63"/>
    <w:rsid w:val="00A576E3"/>
    <w:rsid w:val="00A57984"/>
    <w:rsid w:val="00A57A17"/>
    <w:rsid w:val="00A57A49"/>
    <w:rsid w:val="00A57AFE"/>
    <w:rsid w:val="00A604E8"/>
    <w:rsid w:val="00A6059B"/>
    <w:rsid w:val="00A60FFC"/>
    <w:rsid w:val="00A610EE"/>
    <w:rsid w:val="00A61415"/>
    <w:rsid w:val="00A6162C"/>
    <w:rsid w:val="00A61BE5"/>
    <w:rsid w:val="00A61D34"/>
    <w:rsid w:val="00A61FC2"/>
    <w:rsid w:val="00A62849"/>
    <w:rsid w:val="00A6312B"/>
    <w:rsid w:val="00A632A6"/>
    <w:rsid w:val="00A63623"/>
    <w:rsid w:val="00A63AB6"/>
    <w:rsid w:val="00A63C4F"/>
    <w:rsid w:val="00A63FF0"/>
    <w:rsid w:val="00A648DA"/>
    <w:rsid w:val="00A64EB0"/>
    <w:rsid w:val="00A65311"/>
    <w:rsid w:val="00A658E6"/>
    <w:rsid w:val="00A65F2C"/>
    <w:rsid w:val="00A66082"/>
    <w:rsid w:val="00A66385"/>
    <w:rsid w:val="00A666C7"/>
    <w:rsid w:val="00A66823"/>
    <w:rsid w:val="00A66964"/>
    <w:rsid w:val="00A66B1D"/>
    <w:rsid w:val="00A66C10"/>
    <w:rsid w:val="00A66CB9"/>
    <w:rsid w:val="00A6737B"/>
    <w:rsid w:val="00A67422"/>
    <w:rsid w:val="00A676CF"/>
    <w:rsid w:val="00A67732"/>
    <w:rsid w:val="00A677C0"/>
    <w:rsid w:val="00A67975"/>
    <w:rsid w:val="00A67A20"/>
    <w:rsid w:val="00A70362"/>
    <w:rsid w:val="00A703C4"/>
    <w:rsid w:val="00A704B9"/>
    <w:rsid w:val="00A7062D"/>
    <w:rsid w:val="00A70B94"/>
    <w:rsid w:val="00A710AA"/>
    <w:rsid w:val="00A712FC"/>
    <w:rsid w:val="00A71A0D"/>
    <w:rsid w:val="00A71E2C"/>
    <w:rsid w:val="00A724FB"/>
    <w:rsid w:val="00A72A8F"/>
    <w:rsid w:val="00A72ABF"/>
    <w:rsid w:val="00A72ADE"/>
    <w:rsid w:val="00A73085"/>
    <w:rsid w:val="00A73316"/>
    <w:rsid w:val="00A73AF8"/>
    <w:rsid w:val="00A7402F"/>
    <w:rsid w:val="00A7437C"/>
    <w:rsid w:val="00A75176"/>
    <w:rsid w:val="00A7524F"/>
    <w:rsid w:val="00A7543D"/>
    <w:rsid w:val="00A7573C"/>
    <w:rsid w:val="00A7607D"/>
    <w:rsid w:val="00A76496"/>
    <w:rsid w:val="00A76B88"/>
    <w:rsid w:val="00A76C08"/>
    <w:rsid w:val="00A76C26"/>
    <w:rsid w:val="00A76D64"/>
    <w:rsid w:val="00A77404"/>
    <w:rsid w:val="00A7751E"/>
    <w:rsid w:val="00A778D5"/>
    <w:rsid w:val="00A77E75"/>
    <w:rsid w:val="00A77FDD"/>
    <w:rsid w:val="00A80568"/>
    <w:rsid w:val="00A80745"/>
    <w:rsid w:val="00A80A59"/>
    <w:rsid w:val="00A81237"/>
    <w:rsid w:val="00A81512"/>
    <w:rsid w:val="00A816D3"/>
    <w:rsid w:val="00A81A2F"/>
    <w:rsid w:val="00A8209F"/>
    <w:rsid w:val="00A8232B"/>
    <w:rsid w:val="00A826E3"/>
    <w:rsid w:val="00A82A49"/>
    <w:rsid w:val="00A834D5"/>
    <w:rsid w:val="00A838EA"/>
    <w:rsid w:val="00A839A1"/>
    <w:rsid w:val="00A83B7E"/>
    <w:rsid w:val="00A83C4B"/>
    <w:rsid w:val="00A83DAB"/>
    <w:rsid w:val="00A84400"/>
    <w:rsid w:val="00A8471A"/>
    <w:rsid w:val="00A8492D"/>
    <w:rsid w:val="00A84B04"/>
    <w:rsid w:val="00A84DB3"/>
    <w:rsid w:val="00A84E75"/>
    <w:rsid w:val="00A85836"/>
    <w:rsid w:val="00A8633D"/>
    <w:rsid w:val="00A86386"/>
    <w:rsid w:val="00A863D9"/>
    <w:rsid w:val="00A86515"/>
    <w:rsid w:val="00A867CF"/>
    <w:rsid w:val="00A86A66"/>
    <w:rsid w:val="00A87032"/>
    <w:rsid w:val="00A870BF"/>
    <w:rsid w:val="00A870E8"/>
    <w:rsid w:val="00A87A0D"/>
    <w:rsid w:val="00A87EA8"/>
    <w:rsid w:val="00A90563"/>
    <w:rsid w:val="00A906B6"/>
    <w:rsid w:val="00A91035"/>
    <w:rsid w:val="00A91CFF"/>
    <w:rsid w:val="00A92309"/>
    <w:rsid w:val="00A924D2"/>
    <w:rsid w:val="00A92568"/>
    <w:rsid w:val="00A92C2E"/>
    <w:rsid w:val="00A92CC1"/>
    <w:rsid w:val="00A92DD7"/>
    <w:rsid w:val="00A92E4C"/>
    <w:rsid w:val="00A934EC"/>
    <w:rsid w:val="00A9390E"/>
    <w:rsid w:val="00A9393D"/>
    <w:rsid w:val="00A943A8"/>
    <w:rsid w:val="00A94BF5"/>
    <w:rsid w:val="00A94DDA"/>
    <w:rsid w:val="00A95293"/>
    <w:rsid w:val="00A95306"/>
    <w:rsid w:val="00A95C57"/>
    <w:rsid w:val="00A95CDF"/>
    <w:rsid w:val="00A95DA1"/>
    <w:rsid w:val="00A95EB4"/>
    <w:rsid w:val="00A95F47"/>
    <w:rsid w:val="00A96250"/>
    <w:rsid w:val="00A963E8"/>
    <w:rsid w:val="00A9673E"/>
    <w:rsid w:val="00A96DAB"/>
    <w:rsid w:val="00A96F64"/>
    <w:rsid w:val="00A970A7"/>
    <w:rsid w:val="00A971C4"/>
    <w:rsid w:val="00A974CA"/>
    <w:rsid w:val="00A97593"/>
    <w:rsid w:val="00A97596"/>
    <w:rsid w:val="00A97A6A"/>
    <w:rsid w:val="00A97B38"/>
    <w:rsid w:val="00A97CE8"/>
    <w:rsid w:val="00AA0347"/>
    <w:rsid w:val="00AA078B"/>
    <w:rsid w:val="00AA0C24"/>
    <w:rsid w:val="00AA0E7F"/>
    <w:rsid w:val="00AA1AF9"/>
    <w:rsid w:val="00AA21F6"/>
    <w:rsid w:val="00AA2D44"/>
    <w:rsid w:val="00AA3ACB"/>
    <w:rsid w:val="00AA3F4C"/>
    <w:rsid w:val="00AA440A"/>
    <w:rsid w:val="00AA4666"/>
    <w:rsid w:val="00AA4D3E"/>
    <w:rsid w:val="00AA4F10"/>
    <w:rsid w:val="00AA562B"/>
    <w:rsid w:val="00AA6089"/>
    <w:rsid w:val="00AA6335"/>
    <w:rsid w:val="00AA69E9"/>
    <w:rsid w:val="00AA6C45"/>
    <w:rsid w:val="00AA72A3"/>
    <w:rsid w:val="00AA7773"/>
    <w:rsid w:val="00AA79B5"/>
    <w:rsid w:val="00AB0F0C"/>
    <w:rsid w:val="00AB11AD"/>
    <w:rsid w:val="00AB147F"/>
    <w:rsid w:val="00AB1526"/>
    <w:rsid w:val="00AB19F0"/>
    <w:rsid w:val="00AB19FE"/>
    <w:rsid w:val="00AB247D"/>
    <w:rsid w:val="00AB325B"/>
    <w:rsid w:val="00AB35E2"/>
    <w:rsid w:val="00AB37D3"/>
    <w:rsid w:val="00AB3B85"/>
    <w:rsid w:val="00AB3F79"/>
    <w:rsid w:val="00AB5884"/>
    <w:rsid w:val="00AB5A63"/>
    <w:rsid w:val="00AB5CB7"/>
    <w:rsid w:val="00AB6623"/>
    <w:rsid w:val="00AB6762"/>
    <w:rsid w:val="00AB7195"/>
    <w:rsid w:val="00AB7854"/>
    <w:rsid w:val="00AB7F84"/>
    <w:rsid w:val="00AC002A"/>
    <w:rsid w:val="00AC0959"/>
    <w:rsid w:val="00AC0AED"/>
    <w:rsid w:val="00AC0D2C"/>
    <w:rsid w:val="00AC143D"/>
    <w:rsid w:val="00AC1824"/>
    <w:rsid w:val="00AC1C91"/>
    <w:rsid w:val="00AC210A"/>
    <w:rsid w:val="00AC260A"/>
    <w:rsid w:val="00AC2AF1"/>
    <w:rsid w:val="00AC2C4B"/>
    <w:rsid w:val="00AC2D82"/>
    <w:rsid w:val="00AC3001"/>
    <w:rsid w:val="00AC3308"/>
    <w:rsid w:val="00AC34EB"/>
    <w:rsid w:val="00AC38DC"/>
    <w:rsid w:val="00AC3C66"/>
    <w:rsid w:val="00AC3D66"/>
    <w:rsid w:val="00AC3DC8"/>
    <w:rsid w:val="00AC4039"/>
    <w:rsid w:val="00AC438A"/>
    <w:rsid w:val="00AC5161"/>
    <w:rsid w:val="00AC558A"/>
    <w:rsid w:val="00AC5812"/>
    <w:rsid w:val="00AC594D"/>
    <w:rsid w:val="00AC5996"/>
    <w:rsid w:val="00AC5C91"/>
    <w:rsid w:val="00AC5EA9"/>
    <w:rsid w:val="00AC5ED1"/>
    <w:rsid w:val="00AC6408"/>
    <w:rsid w:val="00AC64FD"/>
    <w:rsid w:val="00AC6E80"/>
    <w:rsid w:val="00AC70FA"/>
    <w:rsid w:val="00AC758A"/>
    <w:rsid w:val="00AC79FC"/>
    <w:rsid w:val="00AC7D84"/>
    <w:rsid w:val="00AC7DB3"/>
    <w:rsid w:val="00AC7DFD"/>
    <w:rsid w:val="00AD0140"/>
    <w:rsid w:val="00AD08B4"/>
    <w:rsid w:val="00AD1B9A"/>
    <w:rsid w:val="00AD1D52"/>
    <w:rsid w:val="00AD1F18"/>
    <w:rsid w:val="00AD204E"/>
    <w:rsid w:val="00AD2099"/>
    <w:rsid w:val="00AD21F4"/>
    <w:rsid w:val="00AD22B6"/>
    <w:rsid w:val="00AD2322"/>
    <w:rsid w:val="00AD2372"/>
    <w:rsid w:val="00AD2417"/>
    <w:rsid w:val="00AD2B13"/>
    <w:rsid w:val="00AD2FD5"/>
    <w:rsid w:val="00AD365F"/>
    <w:rsid w:val="00AD36D5"/>
    <w:rsid w:val="00AD396C"/>
    <w:rsid w:val="00AD3BDE"/>
    <w:rsid w:val="00AD3E80"/>
    <w:rsid w:val="00AD432B"/>
    <w:rsid w:val="00AD436B"/>
    <w:rsid w:val="00AD439D"/>
    <w:rsid w:val="00AD44E0"/>
    <w:rsid w:val="00AD4AC8"/>
    <w:rsid w:val="00AD4D73"/>
    <w:rsid w:val="00AD5264"/>
    <w:rsid w:val="00AD54F5"/>
    <w:rsid w:val="00AD5572"/>
    <w:rsid w:val="00AD5BAD"/>
    <w:rsid w:val="00AD5EC6"/>
    <w:rsid w:val="00AD620D"/>
    <w:rsid w:val="00AD6821"/>
    <w:rsid w:val="00AD6B5B"/>
    <w:rsid w:val="00AD71DB"/>
    <w:rsid w:val="00AD726A"/>
    <w:rsid w:val="00AD7910"/>
    <w:rsid w:val="00AE01AB"/>
    <w:rsid w:val="00AE0DDE"/>
    <w:rsid w:val="00AE107E"/>
    <w:rsid w:val="00AE1475"/>
    <w:rsid w:val="00AE164C"/>
    <w:rsid w:val="00AE192C"/>
    <w:rsid w:val="00AE1C78"/>
    <w:rsid w:val="00AE2074"/>
    <w:rsid w:val="00AE2169"/>
    <w:rsid w:val="00AE245E"/>
    <w:rsid w:val="00AE27D9"/>
    <w:rsid w:val="00AE2888"/>
    <w:rsid w:val="00AE2A51"/>
    <w:rsid w:val="00AE2E03"/>
    <w:rsid w:val="00AE2FFD"/>
    <w:rsid w:val="00AE3047"/>
    <w:rsid w:val="00AE3126"/>
    <w:rsid w:val="00AE3233"/>
    <w:rsid w:val="00AE3265"/>
    <w:rsid w:val="00AE372A"/>
    <w:rsid w:val="00AE3E73"/>
    <w:rsid w:val="00AE3F15"/>
    <w:rsid w:val="00AE40A7"/>
    <w:rsid w:val="00AE45CD"/>
    <w:rsid w:val="00AE4997"/>
    <w:rsid w:val="00AE4A27"/>
    <w:rsid w:val="00AE51EA"/>
    <w:rsid w:val="00AE57BE"/>
    <w:rsid w:val="00AE5B47"/>
    <w:rsid w:val="00AE5B6B"/>
    <w:rsid w:val="00AE5ED0"/>
    <w:rsid w:val="00AE5FE3"/>
    <w:rsid w:val="00AE687D"/>
    <w:rsid w:val="00AE6F4D"/>
    <w:rsid w:val="00AE7542"/>
    <w:rsid w:val="00AE77D1"/>
    <w:rsid w:val="00AE799F"/>
    <w:rsid w:val="00AF01F1"/>
    <w:rsid w:val="00AF0777"/>
    <w:rsid w:val="00AF1360"/>
    <w:rsid w:val="00AF1958"/>
    <w:rsid w:val="00AF1DDD"/>
    <w:rsid w:val="00AF313B"/>
    <w:rsid w:val="00AF3709"/>
    <w:rsid w:val="00AF383E"/>
    <w:rsid w:val="00AF39A6"/>
    <w:rsid w:val="00AF3B7E"/>
    <w:rsid w:val="00AF3BFF"/>
    <w:rsid w:val="00AF3E58"/>
    <w:rsid w:val="00AF44F3"/>
    <w:rsid w:val="00AF453C"/>
    <w:rsid w:val="00AF467C"/>
    <w:rsid w:val="00AF4D09"/>
    <w:rsid w:val="00AF4D61"/>
    <w:rsid w:val="00AF5447"/>
    <w:rsid w:val="00AF56A4"/>
    <w:rsid w:val="00AF5C73"/>
    <w:rsid w:val="00AF5F39"/>
    <w:rsid w:val="00AF615B"/>
    <w:rsid w:val="00AF6169"/>
    <w:rsid w:val="00AF6645"/>
    <w:rsid w:val="00AF680D"/>
    <w:rsid w:val="00AF7469"/>
    <w:rsid w:val="00AF7477"/>
    <w:rsid w:val="00AF77BB"/>
    <w:rsid w:val="00AF78EA"/>
    <w:rsid w:val="00B00058"/>
    <w:rsid w:val="00B0009D"/>
    <w:rsid w:val="00B00B45"/>
    <w:rsid w:val="00B00DAF"/>
    <w:rsid w:val="00B00E53"/>
    <w:rsid w:val="00B01917"/>
    <w:rsid w:val="00B01BC2"/>
    <w:rsid w:val="00B01BE4"/>
    <w:rsid w:val="00B01DBD"/>
    <w:rsid w:val="00B026D7"/>
    <w:rsid w:val="00B0291B"/>
    <w:rsid w:val="00B03B51"/>
    <w:rsid w:val="00B0405A"/>
    <w:rsid w:val="00B04842"/>
    <w:rsid w:val="00B05145"/>
    <w:rsid w:val="00B05264"/>
    <w:rsid w:val="00B054BB"/>
    <w:rsid w:val="00B05546"/>
    <w:rsid w:val="00B060DC"/>
    <w:rsid w:val="00B0610D"/>
    <w:rsid w:val="00B061E3"/>
    <w:rsid w:val="00B06705"/>
    <w:rsid w:val="00B067A9"/>
    <w:rsid w:val="00B06AAD"/>
    <w:rsid w:val="00B06EA8"/>
    <w:rsid w:val="00B07445"/>
    <w:rsid w:val="00B07DBB"/>
    <w:rsid w:val="00B10185"/>
    <w:rsid w:val="00B1022B"/>
    <w:rsid w:val="00B10CC7"/>
    <w:rsid w:val="00B10EC8"/>
    <w:rsid w:val="00B1171E"/>
    <w:rsid w:val="00B11A4F"/>
    <w:rsid w:val="00B12365"/>
    <w:rsid w:val="00B12AB6"/>
    <w:rsid w:val="00B130C1"/>
    <w:rsid w:val="00B1335E"/>
    <w:rsid w:val="00B13967"/>
    <w:rsid w:val="00B13B19"/>
    <w:rsid w:val="00B13FAD"/>
    <w:rsid w:val="00B1407D"/>
    <w:rsid w:val="00B14132"/>
    <w:rsid w:val="00B149B5"/>
    <w:rsid w:val="00B14A3D"/>
    <w:rsid w:val="00B14B79"/>
    <w:rsid w:val="00B1523F"/>
    <w:rsid w:val="00B15664"/>
    <w:rsid w:val="00B16478"/>
    <w:rsid w:val="00B16AED"/>
    <w:rsid w:val="00B16AFC"/>
    <w:rsid w:val="00B16DB4"/>
    <w:rsid w:val="00B16FF6"/>
    <w:rsid w:val="00B1751D"/>
    <w:rsid w:val="00B177CE"/>
    <w:rsid w:val="00B2007D"/>
    <w:rsid w:val="00B205D2"/>
    <w:rsid w:val="00B21171"/>
    <w:rsid w:val="00B21228"/>
    <w:rsid w:val="00B21DFF"/>
    <w:rsid w:val="00B21E53"/>
    <w:rsid w:val="00B22241"/>
    <w:rsid w:val="00B2241B"/>
    <w:rsid w:val="00B22B26"/>
    <w:rsid w:val="00B22EC1"/>
    <w:rsid w:val="00B230BB"/>
    <w:rsid w:val="00B23E92"/>
    <w:rsid w:val="00B24303"/>
    <w:rsid w:val="00B245F6"/>
    <w:rsid w:val="00B24BF5"/>
    <w:rsid w:val="00B25082"/>
    <w:rsid w:val="00B253E6"/>
    <w:rsid w:val="00B259E6"/>
    <w:rsid w:val="00B25CFD"/>
    <w:rsid w:val="00B25D28"/>
    <w:rsid w:val="00B25E82"/>
    <w:rsid w:val="00B25FDE"/>
    <w:rsid w:val="00B266A2"/>
    <w:rsid w:val="00B26FBE"/>
    <w:rsid w:val="00B26FD4"/>
    <w:rsid w:val="00B273B1"/>
    <w:rsid w:val="00B30C0C"/>
    <w:rsid w:val="00B30E6D"/>
    <w:rsid w:val="00B315CD"/>
    <w:rsid w:val="00B31CE6"/>
    <w:rsid w:val="00B320CA"/>
    <w:rsid w:val="00B323D8"/>
    <w:rsid w:val="00B32585"/>
    <w:rsid w:val="00B32A71"/>
    <w:rsid w:val="00B32ADD"/>
    <w:rsid w:val="00B32B12"/>
    <w:rsid w:val="00B32CBB"/>
    <w:rsid w:val="00B32E87"/>
    <w:rsid w:val="00B331B1"/>
    <w:rsid w:val="00B338A5"/>
    <w:rsid w:val="00B33BF8"/>
    <w:rsid w:val="00B34483"/>
    <w:rsid w:val="00B34F7C"/>
    <w:rsid w:val="00B351D6"/>
    <w:rsid w:val="00B35454"/>
    <w:rsid w:val="00B36594"/>
    <w:rsid w:val="00B373A1"/>
    <w:rsid w:val="00B3745A"/>
    <w:rsid w:val="00B3779C"/>
    <w:rsid w:val="00B37ACC"/>
    <w:rsid w:val="00B37B6C"/>
    <w:rsid w:val="00B400D0"/>
    <w:rsid w:val="00B40283"/>
    <w:rsid w:val="00B409BC"/>
    <w:rsid w:val="00B409E8"/>
    <w:rsid w:val="00B40EA0"/>
    <w:rsid w:val="00B41A60"/>
    <w:rsid w:val="00B41BFD"/>
    <w:rsid w:val="00B41DBE"/>
    <w:rsid w:val="00B424A2"/>
    <w:rsid w:val="00B4269A"/>
    <w:rsid w:val="00B4286E"/>
    <w:rsid w:val="00B42B12"/>
    <w:rsid w:val="00B42BA8"/>
    <w:rsid w:val="00B432ED"/>
    <w:rsid w:val="00B43355"/>
    <w:rsid w:val="00B43363"/>
    <w:rsid w:val="00B43563"/>
    <w:rsid w:val="00B43712"/>
    <w:rsid w:val="00B43822"/>
    <w:rsid w:val="00B438C0"/>
    <w:rsid w:val="00B43BB7"/>
    <w:rsid w:val="00B443E8"/>
    <w:rsid w:val="00B44532"/>
    <w:rsid w:val="00B44C80"/>
    <w:rsid w:val="00B44D2B"/>
    <w:rsid w:val="00B4561C"/>
    <w:rsid w:val="00B459A5"/>
    <w:rsid w:val="00B46017"/>
    <w:rsid w:val="00B46A64"/>
    <w:rsid w:val="00B46D2A"/>
    <w:rsid w:val="00B46F75"/>
    <w:rsid w:val="00B470A8"/>
    <w:rsid w:val="00B47184"/>
    <w:rsid w:val="00B47212"/>
    <w:rsid w:val="00B4746B"/>
    <w:rsid w:val="00B4751B"/>
    <w:rsid w:val="00B476E9"/>
    <w:rsid w:val="00B47715"/>
    <w:rsid w:val="00B47A8A"/>
    <w:rsid w:val="00B47AD4"/>
    <w:rsid w:val="00B47C1B"/>
    <w:rsid w:val="00B47C58"/>
    <w:rsid w:val="00B47DAE"/>
    <w:rsid w:val="00B500A8"/>
    <w:rsid w:val="00B503B0"/>
    <w:rsid w:val="00B50CED"/>
    <w:rsid w:val="00B5112D"/>
    <w:rsid w:val="00B512A3"/>
    <w:rsid w:val="00B5141A"/>
    <w:rsid w:val="00B514E1"/>
    <w:rsid w:val="00B52476"/>
    <w:rsid w:val="00B528B3"/>
    <w:rsid w:val="00B53890"/>
    <w:rsid w:val="00B53AE0"/>
    <w:rsid w:val="00B5431A"/>
    <w:rsid w:val="00B54400"/>
    <w:rsid w:val="00B54D52"/>
    <w:rsid w:val="00B54D55"/>
    <w:rsid w:val="00B55387"/>
    <w:rsid w:val="00B553D2"/>
    <w:rsid w:val="00B55553"/>
    <w:rsid w:val="00B556B6"/>
    <w:rsid w:val="00B557C4"/>
    <w:rsid w:val="00B557EE"/>
    <w:rsid w:val="00B5655A"/>
    <w:rsid w:val="00B56B0C"/>
    <w:rsid w:val="00B5717C"/>
    <w:rsid w:val="00B571DF"/>
    <w:rsid w:val="00B57355"/>
    <w:rsid w:val="00B57760"/>
    <w:rsid w:val="00B57A63"/>
    <w:rsid w:val="00B607E1"/>
    <w:rsid w:val="00B60808"/>
    <w:rsid w:val="00B6098A"/>
    <w:rsid w:val="00B60B64"/>
    <w:rsid w:val="00B60E8D"/>
    <w:rsid w:val="00B61361"/>
    <w:rsid w:val="00B61514"/>
    <w:rsid w:val="00B61A1E"/>
    <w:rsid w:val="00B61D05"/>
    <w:rsid w:val="00B61D95"/>
    <w:rsid w:val="00B61F8C"/>
    <w:rsid w:val="00B61FE4"/>
    <w:rsid w:val="00B62D0E"/>
    <w:rsid w:val="00B62E6B"/>
    <w:rsid w:val="00B64848"/>
    <w:rsid w:val="00B64D1E"/>
    <w:rsid w:val="00B654B0"/>
    <w:rsid w:val="00B656D6"/>
    <w:rsid w:val="00B65997"/>
    <w:rsid w:val="00B65A13"/>
    <w:rsid w:val="00B65BAE"/>
    <w:rsid w:val="00B661F0"/>
    <w:rsid w:val="00B6663B"/>
    <w:rsid w:val="00B66C2C"/>
    <w:rsid w:val="00B66CAC"/>
    <w:rsid w:val="00B671A9"/>
    <w:rsid w:val="00B67309"/>
    <w:rsid w:val="00B6792E"/>
    <w:rsid w:val="00B70081"/>
    <w:rsid w:val="00B702C8"/>
    <w:rsid w:val="00B7032F"/>
    <w:rsid w:val="00B70E7F"/>
    <w:rsid w:val="00B711D5"/>
    <w:rsid w:val="00B7147F"/>
    <w:rsid w:val="00B714D9"/>
    <w:rsid w:val="00B714EA"/>
    <w:rsid w:val="00B7184B"/>
    <w:rsid w:val="00B71A75"/>
    <w:rsid w:val="00B71AA6"/>
    <w:rsid w:val="00B71C38"/>
    <w:rsid w:val="00B720C6"/>
    <w:rsid w:val="00B722F4"/>
    <w:rsid w:val="00B724DC"/>
    <w:rsid w:val="00B727F9"/>
    <w:rsid w:val="00B729E7"/>
    <w:rsid w:val="00B72A6A"/>
    <w:rsid w:val="00B72F3F"/>
    <w:rsid w:val="00B73095"/>
    <w:rsid w:val="00B73365"/>
    <w:rsid w:val="00B733E5"/>
    <w:rsid w:val="00B7428D"/>
    <w:rsid w:val="00B74291"/>
    <w:rsid w:val="00B7470D"/>
    <w:rsid w:val="00B7499C"/>
    <w:rsid w:val="00B74A97"/>
    <w:rsid w:val="00B74B02"/>
    <w:rsid w:val="00B74CE1"/>
    <w:rsid w:val="00B754F4"/>
    <w:rsid w:val="00B7558C"/>
    <w:rsid w:val="00B7583E"/>
    <w:rsid w:val="00B7590C"/>
    <w:rsid w:val="00B75A7C"/>
    <w:rsid w:val="00B75EC8"/>
    <w:rsid w:val="00B75F9B"/>
    <w:rsid w:val="00B76F47"/>
    <w:rsid w:val="00B772D2"/>
    <w:rsid w:val="00B77ED7"/>
    <w:rsid w:val="00B77F58"/>
    <w:rsid w:val="00B80167"/>
    <w:rsid w:val="00B80E64"/>
    <w:rsid w:val="00B80EDD"/>
    <w:rsid w:val="00B80F70"/>
    <w:rsid w:val="00B80FEB"/>
    <w:rsid w:val="00B8108C"/>
    <w:rsid w:val="00B8160A"/>
    <w:rsid w:val="00B817CC"/>
    <w:rsid w:val="00B819EE"/>
    <w:rsid w:val="00B81BD9"/>
    <w:rsid w:val="00B81CCD"/>
    <w:rsid w:val="00B81D03"/>
    <w:rsid w:val="00B81FF5"/>
    <w:rsid w:val="00B8243A"/>
    <w:rsid w:val="00B8289C"/>
    <w:rsid w:val="00B82BFB"/>
    <w:rsid w:val="00B82E0C"/>
    <w:rsid w:val="00B82E87"/>
    <w:rsid w:val="00B83723"/>
    <w:rsid w:val="00B83E66"/>
    <w:rsid w:val="00B84A1F"/>
    <w:rsid w:val="00B84B89"/>
    <w:rsid w:val="00B84C69"/>
    <w:rsid w:val="00B84EE4"/>
    <w:rsid w:val="00B853F6"/>
    <w:rsid w:val="00B85547"/>
    <w:rsid w:val="00B8597F"/>
    <w:rsid w:val="00B85FB8"/>
    <w:rsid w:val="00B86559"/>
    <w:rsid w:val="00B8680E"/>
    <w:rsid w:val="00B8685C"/>
    <w:rsid w:val="00B86AD9"/>
    <w:rsid w:val="00B86E33"/>
    <w:rsid w:val="00B86EC5"/>
    <w:rsid w:val="00B8720A"/>
    <w:rsid w:val="00B87C4C"/>
    <w:rsid w:val="00B87CC0"/>
    <w:rsid w:val="00B9037F"/>
    <w:rsid w:val="00B90431"/>
    <w:rsid w:val="00B907E8"/>
    <w:rsid w:val="00B90A83"/>
    <w:rsid w:val="00B90D7C"/>
    <w:rsid w:val="00B912E2"/>
    <w:rsid w:val="00B9137A"/>
    <w:rsid w:val="00B9166A"/>
    <w:rsid w:val="00B9169F"/>
    <w:rsid w:val="00B91706"/>
    <w:rsid w:val="00B91BDF"/>
    <w:rsid w:val="00B91DA5"/>
    <w:rsid w:val="00B924D0"/>
    <w:rsid w:val="00B926FA"/>
    <w:rsid w:val="00B93390"/>
    <w:rsid w:val="00B943AB"/>
    <w:rsid w:val="00B945EC"/>
    <w:rsid w:val="00B949F7"/>
    <w:rsid w:val="00B94A36"/>
    <w:rsid w:val="00B94C77"/>
    <w:rsid w:val="00B94D8D"/>
    <w:rsid w:val="00B94E2E"/>
    <w:rsid w:val="00B94F28"/>
    <w:rsid w:val="00B94F9B"/>
    <w:rsid w:val="00B9517A"/>
    <w:rsid w:val="00B95E16"/>
    <w:rsid w:val="00B96121"/>
    <w:rsid w:val="00B96552"/>
    <w:rsid w:val="00B96AAF"/>
    <w:rsid w:val="00B96D01"/>
    <w:rsid w:val="00B96FA2"/>
    <w:rsid w:val="00B9735E"/>
    <w:rsid w:val="00B97601"/>
    <w:rsid w:val="00B978B2"/>
    <w:rsid w:val="00B97FE9"/>
    <w:rsid w:val="00BA06A4"/>
    <w:rsid w:val="00BA0FE4"/>
    <w:rsid w:val="00BA1472"/>
    <w:rsid w:val="00BA1710"/>
    <w:rsid w:val="00BA1E60"/>
    <w:rsid w:val="00BA2083"/>
    <w:rsid w:val="00BA262F"/>
    <w:rsid w:val="00BA279B"/>
    <w:rsid w:val="00BA2BA0"/>
    <w:rsid w:val="00BA2F76"/>
    <w:rsid w:val="00BA3146"/>
    <w:rsid w:val="00BA3323"/>
    <w:rsid w:val="00BA4008"/>
    <w:rsid w:val="00BA4830"/>
    <w:rsid w:val="00BA4ED0"/>
    <w:rsid w:val="00BA51FE"/>
    <w:rsid w:val="00BA583F"/>
    <w:rsid w:val="00BA5AEE"/>
    <w:rsid w:val="00BA5AFB"/>
    <w:rsid w:val="00BA5BC9"/>
    <w:rsid w:val="00BA5CC0"/>
    <w:rsid w:val="00BA5E6F"/>
    <w:rsid w:val="00BA5FC0"/>
    <w:rsid w:val="00BA6B79"/>
    <w:rsid w:val="00BA6E0D"/>
    <w:rsid w:val="00BA7507"/>
    <w:rsid w:val="00BA78F7"/>
    <w:rsid w:val="00BA7F9E"/>
    <w:rsid w:val="00BB0218"/>
    <w:rsid w:val="00BB0579"/>
    <w:rsid w:val="00BB09DA"/>
    <w:rsid w:val="00BB0A0E"/>
    <w:rsid w:val="00BB0A1E"/>
    <w:rsid w:val="00BB0A90"/>
    <w:rsid w:val="00BB0CB9"/>
    <w:rsid w:val="00BB0F77"/>
    <w:rsid w:val="00BB12B2"/>
    <w:rsid w:val="00BB1597"/>
    <w:rsid w:val="00BB1666"/>
    <w:rsid w:val="00BB1692"/>
    <w:rsid w:val="00BB18BE"/>
    <w:rsid w:val="00BB1981"/>
    <w:rsid w:val="00BB1B13"/>
    <w:rsid w:val="00BB1D0E"/>
    <w:rsid w:val="00BB1D6B"/>
    <w:rsid w:val="00BB2602"/>
    <w:rsid w:val="00BB2733"/>
    <w:rsid w:val="00BB2D40"/>
    <w:rsid w:val="00BB2F47"/>
    <w:rsid w:val="00BB2F85"/>
    <w:rsid w:val="00BB30EE"/>
    <w:rsid w:val="00BB3E06"/>
    <w:rsid w:val="00BB4819"/>
    <w:rsid w:val="00BB50DB"/>
    <w:rsid w:val="00BB57AF"/>
    <w:rsid w:val="00BB5B8E"/>
    <w:rsid w:val="00BB5FDB"/>
    <w:rsid w:val="00BB64C4"/>
    <w:rsid w:val="00BB662E"/>
    <w:rsid w:val="00BB6AE7"/>
    <w:rsid w:val="00BC01BA"/>
    <w:rsid w:val="00BC0931"/>
    <w:rsid w:val="00BC0C4B"/>
    <w:rsid w:val="00BC0CC0"/>
    <w:rsid w:val="00BC0DBE"/>
    <w:rsid w:val="00BC10B7"/>
    <w:rsid w:val="00BC1942"/>
    <w:rsid w:val="00BC2543"/>
    <w:rsid w:val="00BC2588"/>
    <w:rsid w:val="00BC27A8"/>
    <w:rsid w:val="00BC2DEF"/>
    <w:rsid w:val="00BC2E6E"/>
    <w:rsid w:val="00BC2FB3"/>
    <w:rsid w:val="00BC3329"/>
    <w:rsid w:val="00BC33FD"/>
    <w:rsid w:val="00BC36EB"/>
    <w:rsid w:val="00BC3847"/>
    <w:rsid w:val="00BC391C"/>
    <w:rsid w:val="00BC3CE5"/>
    <w:rsid w:val="00BC5818"/>
    <w:rsid w:val="00BC5A0A"/>
    <w:rsid w:val="00BC5C1E"/>
    <w:rsid w:val="00BC6142"/>
    <w:rsid w:val="00BC6A1D"/>
    <w:rsid w:val="00BC6A32"/>
    <w:rsid w:val="00BC6AFE"/>
    <w:rsid w:val="00BC7045"/>
    <w:rsid w:val="00BC7553"/>
    <w:rsid w:val="00BC7B4A"/>
    <w:rsid w:val="00BC7D92"/>
    <w:rsid w:val="00BD0026"/>
    <w:rsid w:val="00BD0A4A"/>
    <w:rsid w:val="00BD0A65"/>
    <w:rsid w:val="00BD0DC3"/>
    <w:rsid w:val="00BD1A6A"/>
    <w:rsid w:val="00BD1ACF"/>
    <w:rsid w:val="00BD22D7"/>
    <w:rsid w:val="00BD25D9"/>
    <w:rsid w:val="00BD2668"/>
    <w:rsid w:val="00BD3406"/>
    <w:rsid w:val="00BD38EA"/>
    <w:rsid w:val="00BD3EB3"/>
    <w:rsid w:val="00BD4117"/>
    <w:rsid w:val="00BD4592"/>
    <w:rsid w:val="00BD47D7"/>
    <w:rsid w:val="00BD48DA"/>
    <w:rsid w:val="00BD498E"/>
    <w:rsid w:val="00BD4B1F"/>
    <w:rsid w:val="00BD4DC1"/>
    <w:rsid w:val="00BD506D"/>
    <w:rsid w:val="00BD5178"/>
    <w:rsid w:val="00BD547E"/>
    <w:rsid w:val="00BD5626"/>
    <w:rsid w:val="00BD56F7"/>
    <w:rsid w:val="00BD6312"/>
    <w:rsid w:val="00BD63BE"/>
    <w:rsid w:val="00BD6675"/>
    <w:rsid w:val="00BD678D"/>
    <w:rsid w:val="00BD6808"/>
    <w:rsid w:val="00BD7869"/>
    <w:rsid w:val="00BD7CA6"/>
    <w:rsid w:val="00BD7F9B"/>
    <w:rsid w:val="00BE0067"/>
    <w:rsid w:val="00BE0430"/>
    <w:rsid w:val="00BE088D"/>
    <w:rsid w:val="00BE0C7C"/>
    <w:rsid w:val="00BE0DFE"/>
    <w:rsid w:val="00BE0F24"/>
    <w:rsid w:val="00BE0FAE"/>
    <w:rsid w:val="00BE165F"/>
    <w:rsid w:val="00BE17F3"/>
    <w:rsid w:val="00BE2588"/>
    <w:rsid w:val="00BE261A"/>
    <w:rsid w:val="00BE26F8"/>
    <w:rsid w:val="00BE2E05"/>
    <w:rsid w:val="00BE2E69"/>
    <w:rsid w:val="00BE2EF1"/>
    <w:rsid w:val="00BE343C"/>
    <w:rsid w:val="00BE3513"/>
    <w:rsid w:val="00BE355B"/>
    <w:rsid w:val="00BE371A"/>
    <w:rsid w:val="00BE3E81"/>
    <w:rsid w:val="00BE3EEE"/>
    <w:rsid w:val="00BE4649"/>
    <w:rsid w:val="00BE51BA"/>
    <w:rsid w:val="00BE5397"/>
    <w:rsid w:val="00BE564F"/>
    <w:rsid w:val="00BE5714"/>
    <w:rsid w:val="00BE5FAD"/>
    <w:rsid w:val="00BE6B9B"/>
    <w:rsid w:val="00BE7BAA"/>
    <w:rsid w:val="00BE7FB7"/>
    <w:rsid w:val="00BF009B"/>
    <w:rsid w:val="00BF0536"/>
    <w:rsid w:val="00BF0B88"/>
    <w:rsid w:val="00BF0CFF"/>
    <w:rsid w:val="00BF0FA2"/>
    <w:rsid w:val="00BF109F"/>
    <w:rsid w:val="00BF1295"/>
    <w:rsid w:val="00BF21E1"/>
    <w:rsid w:val="00BF27CC"/>
    <w:rsid w:val="00BF2A23"/>
    <w:rsid w:val="00BF2DB4"/>
    <w:rsid w:val="00BF3519"/>
    <w:rsid w:val="00BF355D"/>
    <w:rsid w:val="00BF3623"/>
    <w:rsid w:val="00BF38AE"/>
    <w:rsid w:val="00BF3E9C"/>
    <w:rsid w:val="00BF4722"/>
    <w:rsid w:val="00BF4B30"/>
    <w:rsid w:val="00BF4F7D"/>
    <w:rsid w:val="00BF507F"/>
    <w:rsid w:val="00BF5197"/>
    <w:rsid w:val="00BF533C"/>
    <w:rsid w:val="00BF53B3"/>
    <w:rsid w:val="00BF547C"/>
    <w:rsid w:val="00BF5D32"/>
    <w:rsid w:val="00BF60BB"/>
    <w:rsid w:val="00BF6E0C"/>
    <w:rsid w:val="00BF6F3A"/>
    <w:rsid w:val="00BF7444"/>
    <w:rsid w:val="00BF7684"/>
    <w:rsid w:val="00BF7A8D"/>
    <w:rsid w:val="00BF7B0F"/>
    <w:rsid w:val="00C01233"/>
    <w:rsid w:val="00C01757"/>
    <w:rsid w:val="00C01BA8"/>
    <w:rsid w:val="00C01DD2"/>
    <w:rsid w:val="00C01F49"/>
    <w:rsid w:val="00C01F8E"/>
    <w:rsid w:val="00C0248C"/>
    <w:rsid w:val="00C02D38"/>
    <w:rsid w:val="00C032EF"/>
    <w:rsid w:val="00C03489"/>
    <w:rsid w:val="00C03751"/>
    <w:rsid w:val="00C0399C"/>
    <w:rsid w:val="00C03F26"/>
    <w:rsid w:val="00C0430A"/>
    <w:rsid w:val="00C049B1"/>
    <w:rsid w:val="00C04A35"/>
    <w:rsid w:val="00C04AF1"/>
    <w:rsid w:val="00C04E49"/>
    <w:rsid w:val="00C0546D"/>
    <w:rsid w:val="00C058F9"/>
    <w:rsid w:val="00C05974"/>
    <w:rsid w:val="00C05DEF"/>
    <w:rsid w:val="00C06366"/>
    <w:rsid w:val="00C06A71"/>
    <w:rsid w:val="00C06E55"/>
    <w:rsid w:val="00C073D2"/>
    <w:rsid w:val="00C075DA"/>
    <w:rsid w:val="00C07ABA"/>
    <w:rsid w:val="00C07C31"/>
    <w:rsid w:val="00C07FBE"/>
    <w:rsid w:val="00C07FF2"/>
    <w:rsid w:val="00C10142"/>
    <w:rsid w:val="00C1064D"/>
    <w:rsid w:val="00C10A01"/>
    <w:rsid w:val="00C10CF9"/>
    <w:rsid w:val="00C1164B"/>
    <w:rsid w:val="00C116F2"/>
    <w:rsid w:val="00C11DE6"/>
    <w:rsid w:val="00C12975"/>
    <w:rsid w:val="00C12F7A"/>
    <w:rsid w:val="00C13033"/>
    <w:rsid w:val="00C13134"/>
    <w:rsid w:val="00C1335E"/>
    <w:rsid w:val="00C133B9"/>
    <w:rsid w:val="00C13559"/>
    <w:rsid w:val="00C13977"/>
    <w:rsid w:val="00C141D6"/>
    <w:rsid w:val="00C14684"/>
    <w:rsid w:val="00C146D8"/>
    <w:rsid w:val="00C14D25"/>
    <w:rsid w:val="00C14ED8"/>
    <w:rsid w:val="00C152D4"/>
    <w:rsid w:val="00C154A6"/>
    <w:rsid w:val="00C157D8"/>
    <w:rsid w:val="00C15A86"/>
    <w:rsid w:val="00C15E30"/>
    <w:rsid w:val="00C15E9B"/>
    <w:rsid w:val="00C16274"/>
    <w:rsid w:val="00C16424"/>
    <w:rsid w:val="00C167BE"/>
    <w:rsid w:val="00C16AA6"/>
    <w:rsid w:val="00C179AC"/>
    <w:rsid w:val="00C17E94"/>
    <w:rsid w:val="00C207BD"/>
    <w:rsid w:val="00C20A03"/>
    <w:rsid w:val="00C20CFB"/>
    <w:rsid w:val="00C212BA"/>
    <w:rsid w:val="00C216BE"/>
    <w:rsid w:val="00C21F3A"/>
    <w:rsid w:val="00C22098"/>
    <w:rsid w:val="00C2234E"/>
    <w:rsid w:val="00C2295D"/>
    <w:rsid w:val="00C22B8F"/>
    <w:rsid w:val="00C22BCE"/>
    <w:rsid w:val="00C232AA"/>
    <w:rsid w:val="00C2368D"/>
    <w:rsid w:val="00C23C73"/>
    <w:rsid w:val="00C248E8"/>
    <w:rsid w:val="00C24FC0"/>
    <w:rsid w:val="00C25136"/>
    <w:rsid w:val="00C25599"/>
    <w:rsid w:val="00C25882"/>
    <w:rsid w:val="00C25E28"/>
    <w:rsid w:val="00C25EAF"/>
    <w:rsid w:val="00C26067"/>
    <w:rsid w:val="00C26103"/>
    <w:rsid w:val="00C26805"/>
    <w:rsid w:val="00C26BF0"/>
    <w:rsid w:val="00C26EC9"/>
    <w:rsid w:val="00C2741E"/>
    <w:rsid w:val="00C27543"/>
    <w:rsid w:val="00C27802"/>
    <w:rsid w:val="00C2789F"/>
    <w:rsid w:val="00C303F2"/>
    <w:rsid w:val="00C30549"/>
    <w:rsid w:val="00C30983"/>
    <w:rsid w:val="00C31076"/>
    <w:rsid w:val="00C317EC"/>
    <w:rsid w:val="00C318A6"/>
    <w:rsid w:val="00C31971"/>
    <w:rsid w:val="00C31E71"/>
    <w:rsid w:val="00C32244"/>
    <w:rsid w:val="00C32971"/>
    <w:rsid w:val="00C32EDB"/>
    <w:rsid w:val="00C32F03"/>
    <w:rsid w:val="00C32FF4"/>
    <w:rsid w:val="00C3312D"/>
    <w:rsid w:val="00C33B71"/>
    <w:rsid w:val="00C341C0"/>
    <w:rsid w:val="00C345DD"/>
    <w:rsid w:val="00C347F0"/>
    <w:rsid w:val="00C34DD0"/>
    <w:rsid w:val="00C35253"/>
    <w:rsid w:val="00C357A7"/>
    <w:rsid w:val="00C357E8"/>
    <w:rsid w:val="00C35F0C"/>
    <w:rsid w:val="00C3607F"/>
    <w:rsid w:val="00C36128"/>
    <w:rsid w:val="00C369BA"/>
    <w:rsid w:val="00C36A14"/>
    <w:rsid w:val="00C36A68"/>
    <w:rsid w:val="00C370F7"/>
    <w:rsid w:val="00C376E0"/>
    <w:rsid w:val="00C3796C"/>
    <w:rsid w:val="00C37C97"/>
    <w:rsid w:val="00C37FD2"/>
    <w:rsid w:val="00C37FF1"/>
    <w:rsid w:val="00C40133"/>
    <w:rsid w:val="00C401AB"/>
    <w:rsid w:val="00C40222"/>
    <w:rsid w:val="00C4083B"/>
    <w:rsid w:val="00C408B0"/>
    <w:rsid w:val="00C40D5F"/>
    <w:rsid w:val="00C41068"/>
    <w:rsid w:val="00C4201A"/>
    <w:rsid w:val="00C4225F"/>
    <w:rsid w:val="00C42404"/>
    <w:rsid w:val="00C42573"/>
    <w:rsid w:val="00C42843"/>
    <w:rsid w:val="00C42F90"/>
    <w:rsid w:val="00C43635"/>
    <w:rsid w:val="00C4383A"/>
    <w:rsid w:val="00C43C44"/>
    <w:rsid w:val="00C4440D"/>
    <w:rsid w:val="00C44421"/>
    <w:rsid w:val="00C4456B"/>
    <w:rsid w:val="00C447E3"/>
    <w:rsid w:val="00C44BD3"/>
    <w:rsid w:val="00C44E19"/>
    <w:rsid w:val="00C4661C"/>
    <w:rsid w:val="00C468C3"/>
    <w:rsid w:val="00C46A8D"/>
    <w:rsid w:val="00C46DC5"/>
    <w:rsid w:val="00C46EDA"/>
    <w:rsid w:val="00C4706B"/>
    <w:rsid w:val="00C47904"/>
    <w:rsid w:val="00C47A3F"/>
    <w:rsid w:val="00C47A6A"/>
    <w:rsid w:val="00C500B9"/>
    <w:rsid w:val="00C5019D"/>
    <w:rsid w:val="00C501B3"/>
    <w:rsid w:val="00C501E5"/>
    <w:rsid w:val="00C50A2B"/>
    <w:rsid w:val="00C50A40"/>
    <w:rsid w:val="00C50D34"/>
    <w:rsid w:val="00C51012"/>
    <w:rsid w:val="00C5149F"/>
    <w:rsid w:val="00C527E1"/>
    <w:rsid w:val="00C529EA"/>
    <w:rsid w:val="00C52C13"/>
    <w:rsid w:val="00C52DDC"/>
    <w:rsid w:val="00C535F8"/>
    <w:rsid w:val="00C539AD"/>
    <w:rsid w:val="00C53AFF"/>
    <w:rsid w:val="00C53BBF"/>
    <w:rsid w:val="00C53BF6"/>
    <w:rsid w:val="00C53CD6"/>
    <w:rsid w:val="00C53D38"/>
    <w:rsid w:val="00C53D5C"/>
    <w:rsid w:val="00C54495"/>
    <w:rsid w:val="00C544D4"/>
    <w:rsid w:val="00C54C42"/>
    <w:rsid w:val="00C54E73"/>
    <w:rsid w:val="00C54FBF"/>
    <w:rsid w:val="00C550BA"/>
    <w:rsid w:val="00C55735"/>
    <w:rsid w:val="00C557B6"/>
    <w:rsid w:val="00C5601D"/>
    <w:rsid w:val="00C5626B"/>
    <w:rsid w:val="00C56346"/>
    <w:rsid w:val="00C56DF0"/>
    <w:rsid w:val="00C5752C"/>
    <w:rsid w:val="00C57794"/>
    <w:rsid w:val="00C57C34"/>
    <w:rsid w:val="00C602DF"/>
    <w:rsid w:val="00C603AE"/>
    <w:rsid w:val="00C60D1F"/>
    <w:rsid w:val="00C6113D"/>
    <w:rsid w:val="00C614FF"/>
    <w:rsid w:val="00C616DA"/>
    <w:rsid w:val="00C618A8"/>
    <w:rsid w:val="00C61B36"/>
    <w:rsid w:val="00C61C28"/>
    <w:rsid w:val="00C6231A"/>
    <w:rsid w:val="00C6265C"/>
    <w:rsid w:val="00C62BBD"/>
    <w:rsid w:val="00C62C37"/>
    <w:rsid w:val="00C62F63"/>
    <w:rsid w:val="00C6302C"/>
    <w:rsid w:val="00C633BD"/>
    <w:rsid w:val="00C63899"/>
    <w:rsid w:val="00C63EE3"/>
    <w:rsid w:val="00C641A9"/>
    <w:rsid w:val="00C644CF"/>
    <w:rsid w:val="00C64919"/>
    <w:rsid w:val="00C6513D"/>
    <w:rsid w:val="00C6583B"/>
    <w:rsid w:val="00C65A99"/>
    <w:rsid w:val="00C65E00"/>
    <w:rsid w:val="00C65E5E"/>
    <w:rsid w:val="00C661EB"/>
    <w:rsid w:val="00C66273"/>
    <w:rsid w:val="00C66582"/>
    <w:rsid w:val="00C6683F"/>
    <w:rsid w:val="00C6700D"/>
    <w:rsid w:val="00C67388"/>
    <w:rsid w:val="00C67580"/>
    <w:rsid w:val="00C67952"/>
    <w:rsid w:val="00C67CFA"/>
    <w:rsid w:val="00C67DF7"/>
    <w:rsid w:val="00C7052B"/>
    <w:rsid w:val="00C707A5"/>
    <w:rsid w:val="00C709B0"/>
    <w:rsid w:val="00C70B58"/>
    <w:rsid w:val="00C70D30"/>
    <w:rsid w:val="00C71124"/>
    <w:rsid w:val="00C71226"/>
    <w:rsid w:val="00C71997"/>
    <w:rsid w:val="00C719CF"/>
    <w:rsid w:val="00C71E68"/>
    <w:rsid w:val="00C71F9F"/>
    <w:rsid w:val="00C72194"/>
    <w:rsid w:val="00C72573"/>
    <w:rsid w:val="00C72BD1"/>
    <w:rsid w:val="00C72C66"/>
    <w:rsid w:val="00C72C98"/>
    <w:rsid w:val="00C73849"/>
    <w:rsid w:val="00C73B0D"/>
    <w:rsid w:val="00C744AE"/>
    <w:rsid w:val="00C74740"/>
    <w:rsid w:val="00C750D9"/>
    <w:rsid w:val="00C7525B"/>
    <w:rsid w:val="00C75F7A"/>
    <w:rsid w:val="00C76480"/>
    <w:rsid w:val="00C779FF"/>
    <w:rsid w:val="00C77F17"/>
    <w:rsid w:val="00C77F3A"/>
    <w:rsid w:val="00C809BF"/>
    <w:rsid w:val="00C80D2E"/>
    <w:rsid w:val="00C80EB2"/>
    <w:rsid w:val="00C80F9D"/>
    <w:rsid w:val="00C817BA"/>
    <w:rsid w:val="00C82172"/>
    <w:rsid w:val="00C82212"/>
    <w:rsid w:val="00C82611"/>
    <w:rsid w:val="00C826BC"/>
    <w:rsid w:val="00C82870"/>
    <w:rsid w:val="00C82CFB"/>
    <w:rsid w:val="00C82DC9"/>
    <w:rsid w:val="00C839AC"/>
    <w:rsid w:val="00C84A24"/>
    <w:rsid w:val="00C84F07"/>
    <w:rsid w:val="00C84F5B"/>
    <w:rsid w:val="00C86379"/>
    <w:rsid w:val="00C8662F"/>
    <w:rsid w:val="00C866E6"/>
    <w:rsid w:val="00C86EB9"/>
    <w:rsid w:val="00C870A4"/>
    <w:rsid w:val="00C879BD"/>
    <w:rsid w:val="00C87F32"/>
    <w:rsid w:val="00C90053"/>
    <w:rsid w:val="00C9084C"/>
    <w:rsid w:val="00C91170"/>
    <w:rsid w:val="00C9129C"/>
    <w:rsid w:val="00C91CBA"/>
    <w:rsid w:val="00C91DCD"/>
    <w:rsid w:val="00C92007"/>
    <w:rsid w:val="00C92077"/>
    <w:rsid w:val="00C9211A"/>
    <w:rsid w:val="00C925FC"/>
    <w:rsid w:val="00C92607"/>
    <w:rsid w:val="00C92D87"/>
    <w:rsid w:val="00C93326"/>
    <w:rsid w:val="00C9352C"/>
    <w:rsid w:val="00C93717"/>
    <w:rsid w:val="00C93CCC"/>
    <w:rsid w:val="00C93D2B"/>
    <w:rsid w:val="00C9434E"/>
    <w:rsid w:val="00C94B5E"/>
    <w:rsid w:val="00C95003"/>
    <w:rsid w:val="00C9507D"/>
    <w:rsid w:val="00C95299"/>
    <w:rsid w:val="00C95784"/>
    <w:rsid w:val="00C95ACC"/>
    <w:rsid w:val="00C95EA9"/>
    <w:rsid w:val="00C961B7"/>
    <w:rsid w:val="00C962CB"/>
    <w:rsid w:val="00C964AD"/>
    <w:rsid w:val="00C965D6"/>
    <w:rsid w:val="00C96E14"/>
    <w:rsid w:val="00C970DF"/>
    <w:rsid w:val="00C97317"/>
    <w:rsid w:val="00C9740E"/>
    <w:rsid w:val="00C97788"/>
    <w:rsid w:val="00C97875"/>
    <w:rsid w:val="00C97A7B"/>
    <w:rsid w:val="00CA05E0"/>
    <w:rsid w:val="00CA0C12"/>
    <w:rsid w:val="00CA0CA7"/>
    <w:rsid w:val="00CA1035"/>
    <w:rsid w:val="00CA1201"/>
    <w:rsid w:val="00CA139D"/>
    <w:rsid w:val="00CA18C9"/>
    <w:rsid w:val="00CA1A0F"/>
    <w:rsid w:val="00CA22A0"/>
    <w:rsid w:val="00CA2F5A"/>
    <w:rsid w:val="00CA3389"/>
    <w:rsid w:val="00CA3852"/>
    <w:rsid w:val="00CA3D04"/>
    <w:rsid w:val="00CA3F11"/>
    <w:rsid w:val="00CA3F7D"/>
    <w:rsid w:val="00CA40AC"/>
    <w:rsid w:val="00CA4208"/>
    <w:rsid w:val="00CA4216"/>
    <w:rsid w:val="00CA4621"/>
    <w:rsid w:val="00CA480B"/>
    <w:rsid w:val="00CA487E"/>
    <w:rsid w:val="00CA48F7"/>
    <w:rsid w:val="00CA4BA2"/>
    <w:rsid w:val="00CA4C12"/>
    <w:rsid w:val="00CA4EF7"/>
    <w:rsid w:val="00CA55BD"/>
    <w:rsid w:val="00CA576A"/>
    <w:rsid w:val="00CA57DC"/>
    <w:rsid w:val="00CA5819"/>
    <w:rsid w:val="00CA590E"/>
    <w:rsid w:val="00CA592B"/>
    <w:rsid w:val="00CA5A7C"/>
    <w:rsid w:val="00CA5D1B"/>
    <w:rsid w:val="00CA5DF3"/>
    <w:rsid w:val="00CA639B"/>
    <w:rsid w:val="00CA6639"/>
    <w:rsid w:val="00CA673F"/>
    <w:rsid w:val="00CA6AC9"/>
    <w:rsid w:val="00CA7240"/>
    <w:rsid w:val="00CA7411"/>
    <w:rsid w:val="00CA74AA"/>
    <w:rsid w:val="00CA74B5"/>
    <w:rsid w:val="00CA74EC"/>
    <w:rsid w:val="00CA7644"/>
    <w:rsid w:val="00CA79DD"/>
    <w:rsid w:val="00CA7A1D"/>
    <w:rsid w:val="00CA7F72"/>
    <w:rsid w:val="00CB0234"/>
    <w:rsid w:val="00CB0385"/>
    <w:rsid w:val="00CB05C6"/>
    <w:rsid w:val="00CB0790"/>
    <w:rsid w:val="00CB0826"/>
    <w:rsid w:val="00CB0841"/>
    <w:rsid w:val="00CB10D0"/>
    <w:rsid w:val="00CB1190"/>
    <w:rsid w:val="00CB15FB"/>
    <w:rsid w:val="00CB1C81"/>
    <w:rsid w:val="00CB207A"/>
    <w:rsid w:val="00CB20F4"/>
    <w:rsid w:val="00CB2441"/>
    <w:rsid w:val="00CB2809"/>
    <w:rsid w:val="00CB2F70"/>
    <w:rsid w:val="00CB37BC"/>
    <w:rsid w:val="00CB3AA7"/>
    <w:rsid w:val="00CB40ED"/>
    <w:rsid w:val="00CB4A4B"/>
    <w:rsid w:val="00CB518E"/>
    <w:rsid w:val="00CB542F"/>
    <w:rsid w:val="00CB5543"/>
    <w:rsid w:val="00CB625A"/>
    <w:rsid w:val="00CB6A50"/>
    <w:rsid w:val="00CB70D0"/>
    <w:rsid w:val="00CB76B5"/>
    <w:rsid w:val="00CB7711"/>
    <w:rsid w:val="00CC0041"/>
    <w:rsid w:val="00CC00CA"/>
    <w:rsid w:val="00CC0216"/>
    <w:rsid w:val="00CC17CC"/>
    <w:rsid w:val="00CC1E09"/>
    <w:rsid w:val="00CC2483"/>
    <w:rsid w:val="00CC2AB4"/>
    <w:rsid w:val="00CC2E08"/>
    <w:rsid w:val="00CC2F19"/>
    <w:rsid w:val="00CC3030"/>
    <w:rsid w:val="00CC307E"/>
    <w:rsid w:val="00CC336E"/>
    <w:rsid w:val="00CC3503"/>
    <w:rsid w:val="00CC3529"/>
    <w:rsid w:val="00CC37B2"/>
    <w:rsid w:val="00CC3D3A"/>
    <w:rsid w:val="00CC3F4E"/>
    <w:rsid w:val="00CC4385"/>
    <w:rsid w:val="00CC44F0"/>
    <w:rsid w:val="00CC4D2E"/>
    <w:rsid w:val="00CC58F1"/>
    <w:rsid w:val="00CC5906"/>
    <w:rsid w:val="00CC656A"/>
    <w:rsid w:val="00CC6A72"/>
    <w:rsid w:val="00CC752B"/>
    <w:rsid w:val="00CC7997"/>
    <w:rsid w:val="00CD0058"/>
    <w:rsid w:val="00CD017A"/>
    <w:rsid w:val="00CD0247"/>
    <w:rsid w:val="00CD0365"/>
    <w:rsid w:val="00CD04B7"/>
    <w:rsid w:val="00CD07CB"/>
    <w:rsid w:val="00CD1692"/>
    <w:rsid w:val="00CD1D57"/>
    <w:rsid w:val="00CD1F22"/>
    <w:rsid w:val="00CD2642"/>
    <w:rsid w:val="00CD2976"/>
    <w:rsid w:val="00CD2AF4"/>
    <w:rsid w:val="00CD2E17"/>
    <w:rsid w:val="00CD316D"/>
    <w:rsid w:val="00CD3FB8"/>
    <w:rsid w:val="00CD4009"/>
    <w:rsid w:val="00CD47A9"/>
    <w:rsid w:val="00CD4843"/>
    <w:rsid w:val="00CD4951"/>
    <w:rsid w:val="00CD4ABC"/>
    <w:rsid w:val="00CD4E87"/>
    <w:rsid w:val="00CD5CC6"/>
    <w:rsid w:val="00CD5D1F"/>
    <w:rsid w:val="00CD5E24"/>
    <w:rsid w:val="00CD5F4D"/>
    <w:rsid w:val="00CD64AD"/>
    <w:rsid w:val="00CD67BA"/>
    <w:rsid w:val="00CD682A"/>
    <w:rsid w:val="00CD6E6D"/>
    <w:rsid w:val="00CD7198"/>
    <w:rsid w:val="00CD757B"/>
    <w:rsid w:val="00CD757D"/>
    <w:rsid w:val="00CD79A7"/>
    <w:rsid w:val="00CD7E4C"/>
    <w:rsid w:val="00CD7ED0"/>
    <w:rsid w:val="00CD7FF2"/>
    <w:rsid w:val="00CE0063"/>
    <w:rsid w:val="00CE0244"/>
    <w:rsid w:val="00CE026C"/>
    <w:rsid w:val="00CE044D"/>
    <w:rsid w:val="00CE063D"/>
    <w:rsid w:val="00CE0782"/>
    <w:rsid w:val="00CE0A63"/>
    <w:rsid w:val="00CE0FC2"/>
    <w:rsid w:val="00CE1342"/>
    <w:rsid w:val="00CE1353"/>
    <w:rsid w:val="00CE194E"/>
    <w:rsid w:val="00CE1CA1"/>
    <w:rsid w:val="00CE22A7"/>
    <w:rsid w:val="00CE26BE"/>
    <w:rsid w:val="00CE2842"/>
    <w:rsid w:val="00CE2BAE"/>
    <w:rsid w:val="00CE2E31"/>
    <w:rsid w:val="00CE3A50"/>
    <w:rsid w:val="00CE3C4B"/>
    <w:rsid w:val="00CE3EE4"/>
    <w:rsid w:val="00CE41FF"/>
    <w:rsid w:val="00CE4AD8"/>
    <w:rsid w:val="00CE5288"/>
    <w:rsid w:val="00CE5519"/>
    <w:rsid w:val="00CE650D"/>
    <w:rsid w:val="00CE6589"/>
    <w:rsid w:val="00CE6B27"/>
    <w:rsid w:val="00CE7307"/>
    <w:rsid w:val="00CE7C6C"/>
    <w:rsid w:val="00CE7D85"/>
    <w:rsid w:val="00CE7FA0"/>
    <w:rsid w:val="00CF0282"/>
    <w:rsid w:val="00CF0382"/>
    <w:rsid w:val="00CF0658"/>
    <w:rsid w:val="00CF09EC"/>
    <w:rsid w:val="00CF0CAC"/>
    <w:rsid w:val="00CF12DE"/>
    <w:rsid w:val="00CF1665"/>
    <w:rsid w:val="00CF1AF4"/>
    <w:rsid w:val="00CF1FB5"/>
    <w:rsid w:val="00CF226E"/>
    <w:rsid w:val="00CF261C"/>
    <w:rsid w:val="00CF28A1"/>
    <w:rsid w:val="00CF2B98"/>
    <w:rsid w:val="00CF2BAE"/>
    <w:rsid w:val="00CF2F82"/>
    <w:rsid w:val="00CF302E"/>
    <w:rsid w:val="00CF31EA"/>
    <w:rsid w:val="00CF33AB"/>
    <w:rsid w:val="00CF356F"/>
    <w:rsid w:val="00CF3875"/>
    <w:rsid w:val="00CF3D6D"/>
    <w:rsid w:val="00CF4132"/>
    <w:rsid w:val="00CF4B43"/>
    <w:rsid w:val="00CF5049"/>
    <w:rsid w:val="00CF5130"/>
    <w:rsid w:val="00CF53EC"/>
    <w:rsid w:val="00CF5D01"/>
    <w:rsid w:val="00CF6112"/>
    <w:rsid w:val="00CF6271"/>
    <w:rsid w:val="00CF6358"/>
    <w:rsid w:val="00CF6B6C"/>
    <w:rsid w:val="00CF7EEE"/>
    <w:rsid w:val="00CF7F61"/>
    <w:rsid w:val="00D00176"/>
    <w:rsid w:val="00D002F0"/>
    <w:rsid w:val="00D0035B"/>
    <w:rsid w:val="00D00B14"/>
    <w:rsid w:val="00D00C2F"/>
    <w:rsid w:val="00D01276"/>
    <w:rsid w:val="00D01606"/>
    <w:rsid w:val="00D016A5"/>
    <w:rsid w:val="00D0197F"/>
    <w:rsid w:val="00D01A53"/>
    <w:rsid w:val="00D01B00"/>
    <w:rsid w:val="00D01DF6"/>
    <w:rsid w:val="00D01EFE"/>
    <w:rsid w:val="00D021CC"/>
    <w:rsid w:val="00D022D1"/>
    <w:rsid w:val="00D0245F"/>
    <w:rsid w:val="00D02548"/>
    <w:rsid w:val="00D0259A"/>
    <w:rsid w:val="00D029B6"/>
    <w:rsid w:val="00D035F1"/>
    <w:rsid w:val="00D036BC"/>
    <w:rsid w:val="00D03960"/>
    <w:rsid w:val="00D03967"/>
    <w:rsid w:val="00D03B1C"/>
    <w:rsid w:val="00D03D54"/>
    <w:rsid w:val="00D041F1"/>
    <w:rsid w:val="00D0443C"/>
    <w:rsid w:val="00D045BE"/>
    <w:rsid w:val="00D046E4"/>
    <w:rsid w:val="00D047C3"/>
    <w:rsid w:val="00D04D3A"/>
    <w:rsid w:val="00D0502B"/>
    <w:rsid w:val="00D05121"/>
    <w:rsid w:val="00D058EB"/>
    <w:rsid w:val="00D05E10"/>
    <w:rsid w:val="00D0603F"/>
    <w:rsid w:val="00D067C7"/>
    <w:rsid w:val="00D06F5A"/>
    <w:rsid w:val="00D077F7"/>
    <w:rsid w:val="00D07C20"/>
    <w:rsid w:val="00D07F4D"/>
    <w:rsid w:val="00D10659"/>
    <w:rsid w:val="00D107E2"/>
    <w:rsid w:val="00D10C0A"/>
    <w:rsid w:val="00D10F38"/>
    <w:rsid w:val="00D11722"/>
    <w:rsid w:val="00D11892"/>
    <w:rsid w:val="00D11A47"/>
    <w:rsid w:val="00D11C1B"/>
    <w:rsid w:val="00D11EFA"/>
    <w:rsid w:val="00D11F18"/>
    <w:rsid w:val="00D123CE"/>
    <w:rsid w:val="00D127FB"/>
    <w:rsid w:val="00D12DB4"/>
    <w:rsid w:val="00D12E47"/>
    <w:rsid w:val="00D1304E"/>
    <w:rsid w:val="00D13E45"/>
    <w:rsid w:val="00D143EB"/>
    <w:rsid w:val="00D14995"/>
    <w:rsid w:val="00D14CA3"/>
    <w:rsid w:val="00D14DA5"/>
    <w:rsid w:val="00D15AB3"/>
    <w:rsid w:val="00D15AEC"/>
    <w:rsid w:val="00D16055"/>
    <w:rsid w:val="00D161F4"/>
    <w:rsid w:val="00D164DA"/>
    <w:rsid w:val="00D16764"/>
    <w:rsid w:val="00D169FD"/>
    <w:rsid w:val="00D16C48"/>
    <w:rsid w:val="00D17519"/>
    <w:rsid w:val="00D1791E"/>
    <w:rsid w:val="00D17A37"/>
    <w:rsid w:val="00D17A57"/>
    <w:rsid w:val="00D17F70"/>
    <w:rsid w:val="00D2069C"/>
    <w:rsid w:val="00D2074B"/>
    <w:rsid w:val="00D2079C"/>
    <w:rsid w:val="00D2086B"/>
    <w:rsid w:val="00D20899"/>
    <w:rsid w:val="00D20AB0"/>
    <w:rsid w:val="00D20C65"/>
    <w:rsid w:val="00D20EB3"/>
    <w:rsid w:val="00D20F81"/>
    <w:rsid w:val="00D21366"/>
    <w:rsid w:val="00D21F66"/>
    <w:rsid w:val="00D221DC"/>
    <w:rsid w:val="00D223D6"/>
    <w:rsid w:val="00D22926"/>
    <w:rsid w:val="00D22FE2"/>
    <w:rsid w:val="00D232BB"/>
    <w:rsid w:val="00D23418"/>
    <w:rsid w:val="00D23AFD"/>
    <w:rsid w:val="00D23D02"/>
    <w:rsid w:val="00D23F6C"/>
    <w:rsid w:val="00D24956"/>
    <w:rsid w:val="00D249E5"/>
    <w:rsid w:val="00D24C41"/>
    <w:rsid w:val="00D24CEC"/>
    <w:rsid w:val="00D26576"/>
    <w:rsid w:val="00D26A5C"/>
    <w:rsid w:val="00D271CE"/>
    <w:rsid w:val="00D27741"/>
    <w:rsid w:val="00D27D42"/>
    <w:rsid w:val="00D301C7"/>
    <w:rsid w:val="00D3204D"/>
    <w:rsid w:val="00D321AE"/>
    <w:rsid w:val="00D3237E"/>
    <w:rsid w:val="00D324C6"/>
    <w:rsid w:val="00D32BB9"/>
    <w:rsid w:val="00D32CB8"/>
    <w:rsid w:val="00D32D14"/>
    <w:rsid w:val="00D33CB2"/>
    <w:rsid w:val="00D33E1D"/>
    <w:rsid w:val="00D34329"/>
    <w:rsid w:val="00D34CDD"/>
    <w:rsid w:val="00D34D7B"/>
    <w:rsid w:val="00D34F77"/>
    <w:rsid w:val="00D351B3"/>
    <w:rsid w:val="00D35D36"/>
    <w:rsid w:val="00D364A1"/>
    <w:rsid w:val="00D364FC"/>
    <w:rsid w:val="00D36AB2"/>
    <w:rsid w:val="00D36BB6"/>
    <w:rsid w:val="00D36EF9"/>
    <w:rsid w:val="00D36F49"/>
    <w:rsid w:val="00D370B4"/>
    <w:rsid w:val="00D372EA"/>
    <w:rsid w:val="00D3776A"/>
    <w:rsid w:val="00D37A36"/>
    <w:rsid w:val="00D37B90"/>
    <w:rsid w:val="00D40080"/>
    <w:rsid w:val="00D40491"/>
    <w:rsid w:val="00D405BD"/>
    <w:rsid w:val="00D40B6D"/>
    <w:rsid w:val="00D40FA3"/>
    <w:rsid w:val="00D41923"/>
    <w:rsid w:val="00D41DC6"/>
    <w:rsid w:val="00D41F11"/>
    <w:rsid w:val="00D42474"/>
    <w:rsid w:val="00D42DBE"/>
    <w:rsid w:val="00D43246"/>
    <w:rsid w:val="00D4370C"/>
    <w:rsid w:val="00D438C1"/>
    <w:rsid w:val="00D43E3E"/>
    <w:rsid w:val="00D4415E"/>
    <w:rsid w:val="00D44F16"/>
    <w:rsid w:val="00D44F56"/>
    <w:rsid w:val="00D44FE2"/>
    <w:rsid w:val="00D450D0"/>
    <w:rsid w:val="00D45AFF"/>
    <w:rsid w:val="00D45FA4"/>
    <w:rsid w:val="00D46037"/>
    <w:rsid w:val="00D460BD"/>
    <w:rsid w:val="00D464FD"/>
    <w:rsid w:val="00D46865"/>
    <w:rsid w:val="00D46891"/>
    <w:rsid w:val="00D46BE5"/>
    <w:rsid w:val="00D46F3D"/>
    <w:rsid w:val="00D471E8"/>
    <w:rsid w:val="00D47CF6"/>
    <w:rsid w:val="00D50273"/>
    <w:rsid w:val="00D502FC"/>
    <w:rsid w:val="00D50843"/>
    <w:rsid w:val="00D516EC"/>
    <w:rsid w:val="00D51700"/>
    <w:rsid w:val="00D51A0E"/>
    <w:rsid w:val="00D51C96"/>
    <w:rsid w:val="00D51FC0"/>
    <w:rsid w:val="00D52107"/>
    <w:rsid w:val="00D523A5"/>
    <w:rsid w:val="00D52418"/>
    <w:rsid w:val="00D52AC4"/>
    <w:rsid w:val="00D52B37"/>
    <w:rsid w:val="00D52E09"/>
    <w:rsid w:val="00D52E6A"/>
    <w:rsid w:val="00D53227"/>
    <w:rsid w:val="00D53344"/>
    <w:rsid w:val="00D53A82"/>
    <w:rsid w:val="00D5494E"/>
    <w:rsid w:val="00D549FD"/>
    <w:rsid w:val="00D54CA5"/>
    <w:rsid w:val="00D551C3"/>
    <w:rsid w:val="00D5536A"/>
    <w:rsid w:val="00D558AB"/>
    <w:rsid w:val="00D56C0C"/>
    <w:rsid w:val="00D570E7"/>
    <w:rsid w:val="00D5776F"/>
    <w:rsid w:val="00D57D08"/>
    <w:rsid w:val="00D57E83"/>
    <w:rsid w:val="00D6062E"/>
    <w:rsid w:val="00D61057"/>
    <w:rsid w:val="00D61061"/>
    <w:rsid w:val="00D61293"/>
    <w:rsid w:val="00D623F0"/>
    <w:rsid w:val="00D625DC"/>
    <w:rsid w:val="00D62819"/>
    <w:rsid w:val="00D629C9"/>
    <w:rsid w:val="00D62CEC"/>
    <w:rsid w:val="00D63052"/>
    <w:rsid w:val="00D6322E"/>
    <w:rsid w:val="00D6323D"/>
    <w:rsid w:val="00D63417"/>
    <w:rsid w:val="00D6346D"/>
    <w:rsid w:val="00D634D2"/>
    <w:rsid w:val="00D63CDB"/>
    <w:rsid w:val="00D63E3F"/>
    <w:rsid w:val="00D641A0"/>
    <w:rsid w:val="00D64600"/>
    <w:rsid w:val="00D64ACA"/>
    <w:rsid w:val="00D64E98"/>
    <w:rsid w:val="00D6503B"/>
    <w:rsid w:val="00D65086"/>
    <w:rsid w:val="00D657A5"/>
    <w:rsid w:val="00D65897"/>
    <w:rsid w:val="00D65C0B"/>
    <w:rsid w:val="00D66164"/>
    <w:rsid w:val="00D663FD"/>
    <w:rsid w:val="00D6651A"/>
    <w:rsid w:val="00D66893"/>
    <w:rsid w:val="00D66C9F"/>
    <w:rsid w:val="00D67109"/>
    <w:rsid w:val="00D67DC0"/>
    <w:rsid w:val="00D70B22"/>
    <w:rsid w:val="00D70BC7"/>
    <w:rsid w:val="00D70E3C"/>
    <w:rsid w:val="00D70F3E"/>
    <w:rsid w:val="00D71675"/>
    <w:rsid w:val="00D7168C"/>
    <w:rsid w:val="00D716FA"/>
    <w:rsid w:val="00D717ED"/>
    <w:rsid w:val="00D71CA7"/>
    <w:rsid w:val="00D72764"/>
    <w:rsid w:val="00D72851"/>
    <w:rsid w:val="00D72A7A"/>
    <w:rsid w:val="00D72C21"/>
    <w:rsid w:val="00D72FD3"/>
    <w:rsid w:val="00D73BED"/>
    <w:rsid w:val="00D73C7A"/>
    <w:rsid w:val="00D747AB"/>
    <w:rsid w:val="00D7514C"/>
    <w:rsid w:val="00D76B3D"/>
    <w:rsid w:val="00D76DCC"/>
    <w:rsid w:val="00D76FB9"/>
    <w:rsid w:val="00D77131"/>
    <w:rsid w:val="00D779CC"/>
    <w:rsid w:val="00D77CFF"/>
    <w:rsid w:val="00D77FA0"/>
    <w:rsid w:val="00D77FAC"/>
    <w:rsid w:val="00D80946"/>
    <w:rsid w:val="00D80E1D"/>
    <w:rsid w:val="00D80E90"/>
    <w:rsid w:val="00D812B2"/>
    <w:rsid w:val="00D815AC"/>
    <w:rsid w:val="00D81887"/>
    <w:rsid w:val="00D81BE5"/>
    <w:rsid w:val="00D81E44"/>
    <w:rsid w:val="00D8210A"/>
    <w:rsid w:val="00D8233D"/>
    <w:rsid w:val="00D825DF"/>
    <w:rsid w:val="00D8287A"/>
    <w:rsid w:val="00D82F86"/>
    <w:rsid w:val="00D831AC"/>
    <w:rsid w:val="00D8334A"/>
    <w:rsid w:val="00D83439"/>
    <w:rsid w:val="00D83D46"/>
    <w:rsid w:val="00D84824"/>
    <w:rsid w:val="00D85785"/>
    <w:rsid w:val="00D860F2"/>
    <w:rsid w:val="00D866F5"/>
    <w:rsid w:val="00D86EE6"/>
    <w:rsid w:val="00D87674"/>
    <w:rsid w:val="00D903AF"/>
    <w:rsid w:val="00D90980"/>
    <w:rsid w:val="00D90982"/>
    <w:rsid w:val="00D90A7C"/>
    <w:rsid w:val="00D90CE7"/>
    <w:rsid w:val="00D90E89"/>
    <w:rsid w:val="00D916DC"/>
    <w:rsid w:val="00D91D94"/>
    <w:rsid w:val="00D92029"/>
    <w:rsid w:val="00D92494"/>
    <w:rsid w:val="00D9288E"/>
    <w:rsid w:val="00D92956"/>
    <w:rsid w:val="00D929F6"/>
    <w:rsid w:val="00D92A5C"/>
    <w:rsid w:val="00D92B49"/>
    <w:rsid w:val="00D92FF3"/>
    <w:rsid w:val="00D9332B"/>
    <w:rsid w:val="00D93368"/>
    <w:rsid w:val="00D935E7"/>
    <w:rsid w:val="00D93634"/>
    <w:rsid w:val="00D9393A"/>
    <w:rsid w:val="00D94082"/>
    <w:rsid w:val="00D947AA"/>
    <w:rsid w:val="00D94B35"/>
    <w:rsid w:val="00D95059"/>
    <w:rsid w:val="00D955C8"/>
    <w:rsid w:val="00D95734"/>
    <w:rsid w:val="00D957FD"/>
    <w:rsid w:val="00D960F3"/>
    <w:rsid w:val="00D96BDC"/>
    <w:rsid w:val="00D96D7B"/>
    <w:rsid w:val="00D970EC"/>
    <w:rsid w:val="00D972F1"/>
    <w:rsid w:val="00D97E07"/>
    <w:rsid w:val="00D97E4E"/>
    <w:rsid w:val="00D97F4D"/>
    <w:rsid w:val="00DA039F"/>
    <w:rsid w:val="00DA0577"/>
    <w:rsid w:val="00DA06B2"/>
    <w:rsid w:val="00DA0DDB"/>
    <w:rsid w:val="00DA11EC"/>
    <w:rsid w:val="00DA1EC6"/>
    <w:rsid w:val="00DA1EE7"/>
    <w:rsid w:val="00DA1F8D"/>
    <w:rsid w:val="00DA1FC8"/>
    <w:rsid w:val="00DA25D4"/>
    <w:rsid w:val="00DA29D6"/>
    <w:rsid w:val="00DA29F4"/>
    <w:rsid w:val="00DA426C"/>
    <w:rsid w:val="00DA47DC"/>
    <w:rsid w:val="00DA545E"/>
    <w:rsid w:val="00DA58D4"/>
    <w:rsid w:val="00DA5D0C"/>
    <w:rsid w:val="00DA6257"/>
    <w:rsid w:val="00DA6942"/>
    <w:rsid w:val="00DA6AD1"/>
    <w:rsid w:val="00DA6DB9"/>
    <w:rsid w:val="00DA729D"/>
    <w:rsid w:val="00DB0117"/>
    <w:rsid w:val="00DB06A9"/>
    <w:rsid w:val="00DB0CE4"/>
    <w:rsid w:val="00DB0E4A"/>
    <w:rsid w:val="00DB151C"/>
    <w:rsid w:val="00DB19DA"/>
    <w:rsid w:val="00DB1AD8"/>
    <w:rsid w:val="00DB1E6F"/>
    <w:rsid w:val="00DB1FAC"/>
    <w:rsid w:val="00DB1FF5"/>
    <w:rsid w:val="00DB2682"/>
    <w:rsid w:val="00DB2733"/>
    <w:rsid w:val="00DB347B"/>
    <w:rsid w:val="00DB370F"/>
    <w:rsid w:val="00DB3854"/>
    <w:rsid w:val="00DB3EF2"/>
    <w:rsid w:val="00DB408A"/>
    <w:rsid w:val="00DB4518"/>
    <w:rsid w:val="00DB51E7"/>
    <w:rsid w:val="00DB5695"/>
    <w:rsid w:val="00DB58CB"/>
    <w:rsid w:val="00DB5999"/>
    <w:rsid w:val="00DB5A32"/>
    <w:rsid w:val="00DB68BA"/>
    <w:rsid w:val="00DB6B86"/>
    <w:rsid w:val="00DB7552"/>
    <w:rsid w:val="00DB7A63"/>
    <w:rsid w:val="00DB7F67"/>
    <w:rsid w:val="00DC0436"/>
    <w:rsid w:val="00DC044D"/>
    <w:rsid w:val="00DC094A"/>
    <w:rsid w:val="00DC0D95"/>
    <w:rsid w:val="00DC0DD6"/>
    <w:rsid w:val="00DC1702"/>
    <w:rsid w:val="00DC2D36"/>
    <w:rsid w:val="00DC3347"/>
    <w:rsid w:val="00DC3B3B"/>
    <w:rsid w:val="00DC3D00"/>
    <w:rsid w:val="00DC4FFD"/>
    <w:rsid w:val="00DC55A0"/>
    <w:rsid w:val="00DC5B38"/>
    <w:rsid w:val="00DC5ED7"/>
    <w:rsid w:val="00DC644B"/>
    <w:rsid w:val="00DC68E6"/>
    <w:rsid w:val="00DC6E8F"/>
    <w:rsid w:val="00DC7213"/>
    <w:rsid w:val="00DC7A62"/>
    <w:rsid w:val="00DC7C5B"/>
    <w:rsid w:val="00DC7E89"/>
    <w:rsid w:val="00DD03D6"/>
    <w:rsid w:val="00DD0606"/>
    <w:rsid w:val="00DD0A58"/>
    <w:rsid w:val="00DD0B98"/>
    <w:rsid w:val="00DD0BCB"/>
    <w:rsid w:val="00DD143C"/>
    <w:rsid w:val="00DD15A0"/>
    <w:rsid w:val="00DD23F7"/>
    <w:rsid w:val="00DD24BA"/>
    <w:rsid w:val="00DD24D3"/>
    <w:rsid w:val="00DD269A"/>
    <w:rsid w:val="00DD2811"/>
    <w:rsid w:val="00DD370C"/>
    <w:rsid w:val="00DD3BD7"/>
    <w:rsid w:val="00DD3DFA"/>
    <w:rsid w:val="00DD450D"/>
    <w:rsid w:val="00DD4553"/>
    <w:rsid w:val="00DD464E"/>
    <w:rsid w:val="00DD4941"/>
    <w:rsid w:val="00DD49F6"/>
    <w:rsid w:val="00DD4D55"/>
    <w:rsid w:val="00DD5052"/>
    <w:rsid w:val="00DD53E7"/>
    <w:rsid w:val="00DD5A31"/>
    <w:rsid w:val="00DD5A83"/>
    <w:rsid w:val="00DD5B0D"/>
    <w:rsid w:val="00DD5BCD"/>
    <w:rsid w:val="00DD62D6"/>
    <w:rsid w:val="00DD6549"/>
    <w:rsid w:val="00DD6A41"/>
    <w:rsid w:val="00DD6B64"/>
    <w:rsid w:val="00DD6BDF"/>
    <w:rsid w:val="00DD6C65"/>
    <w:rsid w:val="00DD74F2"/>
    <w:rsid w:val="00DD750C"/>
    <w:rsid w:val="00DD76B2"/>
    <w:rsid w:val="00DD7B7B"/>
    <w:rsid w:val="00DE005B"/>
    <w:rsid w:val="00DE03BC"/>
    <w:rsid w:val="00DE0715"/>
    <w:rsid w:val="00DE0B76"/>
    <w:rsid w:val="00DE0BCE"/>
    <w:rsid w:val="00DE1060"/>
    <w:rsid w:val="00DE119D"/>
    <w:rsid w:val="00DE12C8"/>
    <w:rsid w:val="00DE1388"/>
    <w:rsid w:val="00DE13D0"/>
    <w:rsid w:val="00DE15F3"/>
    <w:rsid w:val="00DE1769"/>
    <w:rsid w:val="00DE1C76"/>
    <w:rsid w:val="00DE22AD"/>
    <w:rsid w:val="00DE28C1"/>
    <w:rsid w:val="00DE2EDF"/>
    <w:rsid w:val="00DE3166"/>
    <w:rsid w:val="00DE333C"/>
    <w:rsid w:val="00DE35BC"/>
    <w:rsid w:val="00DE3751"/>
    <w:rsid w:val="00DE3A89"/>
    <w:rsid w:val="00DE3B8E"/>
    <w:rsid w:val="00DE3F2A"/>
    <w:rsid w:val="00DE41A6"/>
    <w:rsid w:val="00DE427C"/>
    <w:rsid w:val="00DE43A0"/>
    <w:rsid w:val="00DE5783"/>
    <w:rsid w:val="00DE5C3E"/>
    <w:rsid w:val="00DE5D72"/>
    <w:rsid w:val="00DE6D81"/>
    <w:rsid w:val="00DE6F22"/>
    <w:rsid w:val="00DE6FEB"/>
    <w:rsid w:val="00DF0702"/>
    <w:rsid w:val="00DF09AA"/>
    <w:rsid w:val="00DF14AE"/>
    <w:rsid w:val="00DF1724"/>
    <w:rsid w:val="00DF1932"/>
    <w:rsid w:val="00DF1F28"/>
    <w:rsid w:val="00DF2044"/>
    <w:rsid w:val="00DF2AB8"/>
    <w:rsid w:val="00DF2B9D"/>
    <w:rsid w:val="00DF2C89"/>
    <w:rsid w:val="00DF2E7F"/>
    <w:rsid w:val="00DF3B18"/>
    <w:rsid w:val="00DF3B79"/>
    <w:rsid w:val="00DF3BB2"/>
    <w:rsid w:val="00DF3DE8"/>
    <w:rsid w:val="00DF3EC0"/>
    <w:rsid w:val="00DF40F9"/>
    <w:rsid w:val="00DF475F"/>
    <w:rsid w:val="00DF5CD6"/>
    <w:rsid w:val="00DF5E6A"/>
    <w:rsid w:val="00DF5F83"/>
    <w:rsid w:val="00DF65F9"/>
    <w:rsid w:val="00DF671A"/>
    <w:rsid w:val="00DF68FA"/>
    <w:rsid w:val="00DF6CE8"/>
    <w:rsid w:val="00DF78C6"/>
    <w:rsid w:val="00DF7B1D"/>
    <w:rsid w:val="00DF7D7F"/>
    <w:rsid w:val="00DF7E1E"/>
    <w:rsid w:val="00DF7F48"/>
    <w:rsid w:val="00E0008B"/>
    <w:rsid w:val="00E00698"/>
    <w:rsid w:val="00E0072A"/>
    <w:rsid w:val="00E00974"/>
    <w:rsid w:val="00E00E42"/>
    <w:rsid w:val="00E01142"/>
    <w:rsid w:val="00E0130F"/>
    <w:rsid w:val="00E02035"/>
    <w:rsid w:val="00E02116"/>
    <w:rsid w:val="00E021F6"/>
    <w:rsid w:val="00E02429"/>
    <w:rsid w:val="00E024A3"/>
    <w:rsid w:val="00E025B6"/>
    <w:rsid w:val="00E02B0C"/>
    <w:rsid w:val="00E02C0F"/>
    <w:rsid w:val="00E02F82"/>
    <w:rsid w:val="00E02FE0"/>
    <w:rsid w:val="00E035D4"/>
    <w:rsid w:val="00E0384F"/>
    <w:rsid w:val="00E0389B"/>
    <w:rsid w:val="00E043A9"/>
    <w:rsid w:val="00E0463E"/>
    <w:rsid w:val="00E04DD8"/>
    <w:rsid w:val="00E04EE7"/>
    <w:rsid w:val="00E04F60"/>
    <w:rsid w:val="00E06852"/>
    <w:rsid w:val="00E069F4"/>
    <w:rsid w:val="00E06D2D"/>
    <w:rsid w:val="00E06E5F"/>
    <w:rsid w:val="00E0789F"/>
    <w:rsid w:val="00E0792A"/>
    <w:rsid w:val="00E07AF1"/>
    <w:rsid w:val="00E07BE1"/>
    <w:rsid w:val="00E07CE8"/>
    <w:rsid w:val="00E07D6E"/>
    <w:rsid w:val="00E100B0"/>
    <w:rsid w:val="00E10431"/>
    <w:rsid w:val="00E10717"/>
    <w:rsid w:val="00E10AC8"/>
    <w:rsid w:val="00E10B6B"/>
    <w:rsid w:val="00E113B9"/>
    <w:rsid w:val="00E12258"/>
    <w:rsid w:val="00E12659"/>
    <w:rsid w:val="00E12872"/>
    <w:rsid w:val="00E128A1"/>
    <w:rsid w:val="00E128CE"/>
    <w:rsid w:val="00E128F4"/>
    <w:rsid w:val="00E129A2"/>
    <w:rsid w:val="00E12A15"/>
    <w:rsid w:val="00E1308A"/>
    <w:rsid w:val="00E1379F"/>
    <w:rsid w:val="00E13C00"/>
    <w:rsid w:val="00E14211"/>
    <w:rsid w:val="00E1422B"/>
    <w:rsid w:val="00E1458F"/>
    <w:rsid w:val="00E1468D"/>
    <w:rsid w:val="00E146B9"/>
    <w:rsid w:val="00E14D76"/>
    <w:rsid w:val="00E15857"/>
    <w:rsid w:val="00E15895"/>
    <w:rsid w:val="00E158C7"/>
    <w:rsid w:val="00E15FE6"/>
    <w:rsid w:val="00E16039"/>
    <w:rsid w:val="00E16306"/>
    <w:rsid w:val="00E1649A"/>
    <w:rsid w:val="00E1649B"/>
    <w:rsid w:val="00E164A4"/>
    <w:rsid w:val="00E165EA"/>
    <w:rsid w:val="00E16ACF"/>
    <w:rsid w:val="00E16C29"/>
    <w:rsid w:val="00E16E36"/>
    <w:rsid w:val="00E16ED5"/>
    <w:rsid w:val="00E173FF"/>
    <w:rsid w:val="00E17C4E"/>
    <w:rsid w:val="00E17EC7"/>
    <w:rsid w:val="00E200C8"/>
    <w:rsid w:val="00E2021E"/>
    <w:rsid w:val="00E2122B"/>
    <w:rsid w:val="00E21846"/>
    <w:rsid w:val="00E22C89"/>
    <w:rsid w:val="00E230D7"/>
    <w:rsid w:val="00E23382"/>
    <w:rsid w:val="00E23CB2"/>
    <w:rsid w:val="00E24286"/>
    <w:rsid w:val="00E24EB3"/>
    <w:rsid w:val="00E25233"/>
    <w:rsid w:val="00E25386"/>
    <w:rsid w:val="00E25445"/>
    <w:rsid w:val="00E25DC4"/>
    <w:rsid w:val="00E26380"/>
    <w:rsid w:val="00E26BB7"/>
    <w:rsid w:val="00E26E80"/>
    <w:rsid w:val="00E2710A"/>
    <w:rsid w:val="00E273C2"/>
    <w:rsid w:val="00E27428"/>
    <w:rsid w:val="00E276D5"/>
    <w:rsid w:val="00E2787E"/>
    <w:rsid w:val="00E27DDA"/>
    <w:rsid w:val="00E30196"/>
    <w:rsid w:val="00E302E7"/>
    <w:rsid w:val="00E30E8C"/>
    <w:rsid w:val="00E30F09"/>
    <w:rsid w:val="00E30F25"/>
    <w:rsid w:val="00E3105D"/>
    <w:rsid w:val="00E31125"/>
    <w:rsid w:val="00E31C59"/>
    <w:rsid w:val="00E3205A"/>
    <w:rsid w:val="00E321BF"/>
    <w:rsid w:val="00E325B1"/>
    <w:rsid w:val="00E32E04"/>
    <w:rsid w:val="00E3317F"/>
    <w:rsid w:val="00E333DE"/>
    <w:rsid w:val="00E33C46"/>
    <w:rsid w:val="00E33E34"/>
    <w:rsid w:val="00E348C4"/>
    <w:rsid w:val="00E349B1"/>
    <w:rsid w:val="00E34B80"/>
    <w:rsid w:val="00E34DB8"/>
    <w:rsid w:val="00E352CA"/>
    <w:rsid w:val="00E35368"/>
    <w:rsid w:val="00E353C6"/>
    <w:rsid w:val="00E35E0E"/>
    <w:rsid w:val="00E35FB8"/>
    <w:rsid w:val="00E3641C"/>
    <w:rsid w:val="00E3678B"/>
    <w:rsid w:val="00E36C7E"/>
    <w:rsid w:val="00E36F18"/>
    <w:rsid w:val="00E373EF"/>
    <w:rsid w:val="00E3758A"/>
    <w:rsid w:val="00E3760B"/>
    <w:rsid w:val="00E37615"/>
    <w:rsid w:val="00E37990"/>
    <w:rsid w:val="00E379A8"/>
    <w:rsid w:val="00E40384"/>
    <w:rsid w:val="00E40608"/>
    <w:rsid w:val="00E406D1"/>
    <w:rsid w:val="00E407F2"/>
    <w:rsid w:val="00E408F9"/>
    <w:rsid w:val="00E40C0C"/>
    <w:rsid w:val="00E40C4B"/>
    <w:rsid w:val="00E40C6E"/>
    <w:rsid w:val="00E40CFB"/>
    <w:rsid w:val="00E40FE0"/>
    <w:rsid w:val="00E41634"/>
    <w:rsid w:val="00E41B5E"/>
    <w:rsid w:val="00E42F33"/>
    <w:rsid w:val="00E43858"/>
    <w:rsid w:val="00E43DF2"/>
    <w:rsid w:val="00E43EE8"/>
    <w:rsid w:val="00E443C4"/>
    <w:rsid w:val="00E44505"/>
    <w:rsid w:val="00E44848"/>
    <w:rsid w:val="00E44CFF"/>
    <w:rsid w:val="00E451AD"/>
    <w:rsid w:val="00E454D1"/>
    <w:rsid w:val="00E460E9"/>
    <w:rsid w:val="00E46983"/>
    <w:rsid w:val="00E46AE4"/>
    <w:rsid w:val="00E46BFB"/>
    <w:rsid w:val="00E46C84"/>
    <w:rsid w:val="00E46D9C"/>
    <w:rsid w:val="00E47B00"/>
    <w:rsid w:val="00E5002B"/>
    <w:rsid w:val="00E50A41"/>
    <w:rsid w:val="00E50D71"/>
    <w:rsid w:val="00E50F2F"/>
    <w:rsid w:val="00E510F5"/>
    <w:rsid w:val="00E51446"/>
    <w:rsid w:val="00E51883"/>
    <w:rsid w:val="00E52566"/>
    <w:rsid w:val="00E5384C"/>
    <w:rsid w:val="00E53B23"/>
    <w:rsid w:val="00E53C6A"/>
    <w:rsid w:val="00E5447D"/>
    <w:rsid w:val="00E54480"/>
    <w:rsid w:val="00E54C28"/>
    <w:rsid w:val="00E5531F"/>
    <w:rsid w:val="00E554BD"/>
    <w:rsid w:val="00E561F8"/>
    <w:rsid w:val="00E5633A"/>
    <w:rsid w:val="00E5635A"/>
    <w:rsid w:val="00E56430"/>
    <w:rsid w:val="00E568F4"/>
    <w:rsid w:val="00E56A46"/>
    <w:rsid w:val="00E56B02"/>
    <w:rsid w:val="00E56BF5"/>
    <w:rsid w:val="00E57E56"/>
    <w:rsid w:val="00E600DD"/>
    <w:rsid w:val="00E601BA"/>
    <w:rsid w:val="00E60325"/>
    <w:rsid w:val="00E60354"/>
    <w:rsid w:val="00E607FF"/>
    <w:rsid w:val="00E61680"/>
    <w:rsid w:val="00E61B30"/>
    <w:rsid w:val="00E62213"/>
    <w:rsid w:val="00E627F8"/>
    <w:rsid w:val="00E62ADC"/>
    <w:rsid w:val="00E62FF0"/>
    <w:rsid w:val="00E630A7"/>
    <w:rsid w:val="00E6326D"/>
    <w:rsid w:val="00E635F9"/>
    <w:rsid w:val="00E63A9F"/>
    <w:rsid w:val="00E64305"/>
    <w:rsid w:val="00E644A4"/>
    <w:rsid w:val="00E646D8"/>
    <w:rsid w:val="00E64885"/>
    <w:rsid w:val="00E64B15"/>
    <w:rsid w:val="00E64EFC"/>
    <w:rsid w:val="00E65C8B"/>
    <w:rsid w:val="00E65F56"/>
    <w:rsid w:val="00E65FE1"/>
    <w:rsid w:val="00E66227"/>
    <w:rsid w:val="00E6648D"/>
    <w:rsid w:val="00E669FF"/>
    <w:rsid w:val="00E674F5"/>
    <w:rsid w:val="00E67789"/>
    <w:rsid w:val="00E67D72"/>
    <w:rsid w:val="00E7059F"/>
    <w:rsid w:val="00E705CB"/>
    <w:rsid w:val="00E707EE"/>
    <w:rsid w:val="00E70EA2"/>
    <w:rsid w:val="00E7112B"/>
    <w:rsid w:val="00E7152D"/>
    <w:rsid w:val="00E71D8B"/>
    <w:rsid w:val="00E71FC0"/>
    <w:rsid w:val="00E723D7"/>
    <w:rsid w:val="00E725D0"/>
    <w:rsid w:val="00E729CF"/>
    <w:rsid w:val="00E7316A"/>
    <w:rsid w:val="00E73D70"/>
    <w:rsid w:val="00E75730"/>
    <w:rsid w:val="00E76185"/>
    <w:rsid w:val="00E77743"/>
    <w:rsid w:val="00E77F89"/>
    <w:rsid w:val="00E8028D"/>
    <w:rsid w:val="00E802D7"/>
    <w:rsid w:val="00E80BC6"/>
    <w:rsid w:val="00E81116"/>
    <w:rsid w:val="00E8130D"/>
    <w:rsid w:val="00E815C1"/>
    <w:rsid w:val="00E81E9C"/>
    <w:rsid w:val="00E82117"/>
    <w:rsid w:val="00E827E5"/>
    <w:rsid w:val="00E82C33"/>
    <w:rsid w:val="00E82DFF"/>
    <w:rsid w:val="00E82EDF"/>
    <w:rsid w:val="00E82FED"/>
    <w:rsid w:val="00E830CD"/>
    <w:rsid w:val="00E83436"/>
    <w:rsid w:val="00E835B6"/>
    <w:rsid w:val="00E83A09"/>
    <w:rsid w:val="00E83A58"/>
    <w:rsid w:val="00E84989"/>
    <w:rsid w:val="00E84FB2"/>
    <w:rsid w:val="00E851E5"/>
    <w:rsid w:val="00E8573A"/>
    <w:rsid w:val="00E85C4C"/>
    <w:rsid w:val="00E85F7A"/>
    <w:rsid w:val="00E86046"/>
    <w:rsid w:val="00E867DC"/>
    <w:rsid w:val="00E86ADC"/>
    <w:rsid w:val="00E86ADD"/>
    <w:rsid w:val="00E86EA6"/>
    <w:rsid w:val="00E8702D"/>
    <w:rsid w:val="00E87243"/>
    <w:rsid w:val="00E87249"/>
    <w:rsid w:val="00E87346"/>
    <w:rsid w:val="00E87530"/>
    <w:rsid w:val="00E9012A"/>
    <w:rsid w:val="00E90365"/>
    <w:rsid w:val="00E904D7"/>
    <w:rsid w:val="00E9076B"/>
    <w:rsid w:val="00E9078F"/>
    <w:rsid w:val="00E90FD6"/>
    <w:rsid w:val="00E91495"/>
    <w:rsid w:val="00E916AC"/>
    <w:rsid w:val="00E924A5"/>
    <w:rsid w:val="00E927FF"/>
    <w:rsid w:val="00E92EFD"/>
    <w:rsid w:val="00E93701"/>
    <w:rsid w:val="00E93BEA"/>
    <w:rsid w:val="00E93DA9"/>
    <w:rsid w:val="00E93FDB"/>
    <w:rsid w:val="00E943B5"/>
    <w:rsid w:val="00E943E4"/>
    <w:rsid w:val="00E944FC"/>
    <w:rsid w:val="00E94F15"/>
    <w:rsid w:val="00E9527E"/>
    <w:rsid w:val="00E956A6"/>
    <w:rsid w:val="00E959B1"/>
    <w:rsid w:val="00E95A31"/>
    <w:rsid w:val="00E95AD4"/>
    <w:rsid w:val="00E960A1"/>
    <w:rsid w:val="00E969A6"/>
    <w:rsid w:val="00E96D73"/>
    <w:rsid w:val="00E97B9B"/>
    <w:rsid w:val="00E97F6D"/>
    <w:rsid w:val="00EA0183"/>
    <w:rsid w:val="00EA065E"/>
    <w:rsid w:val="00EA124D"/>
    <w:rsid w:val="00EA14D7"/>
    <w:rsid w:val="00EA1B0C"/>
    <w:rsid w:val="00EA1B88"/>
    <w:rsid w:val="00EA1E02"/>
    <w:rsid w:val="00EA1EEC"/>
    <w:rsid w:val="00EA223E"/>
    <w:rsid w:val="00EA2704"/>
    <w:rsid w:val="00EA27E5"/>
    <w:rsid w:val="00EA2868"/>
    <w:rsid w:val="00EA293A"/>
    <w:rsid w:val="00EA2CCD"/>
    <w:rsid w:val="00EA2EC9"/>
    <w:rsid w:val="00EA3960"/>
    <w:rsid w:val="00EA3987"/>
    <w:rsid w:val="00EA3BEC"/>
    <w:rsid w:val="00EA3E50"/>
    <w:rsid w:val="00EA489C"/>
    <w:rsid w:val="00EA4F72"/>
    <w:rsid w:val="00EA55C5"/>
    <w:rsid w:val="00EA5A41"/>
    <w:rsid w:val="00EA5AA1"/>
    <w:rsid w:val="00EA5B6E"/>
    <w:rsid w:val="00EA5B88"/>
    <w:rsid w:val="00EA5F3F"/>
    <w:rsid w:val="00EA66ED"/>
    <w:rsid w:val="00EA6F91"/>
    <w:rsid w:val="00EA75AA"/>
    <w:rsid w:val="00EA77D0"/>
    <w:rsid w:val="00EB0423"/>
    <w:rsid w:val="00EB04D5"/>
    <w:rsid w:val="00EB051B"/>
    <w:rsid w:val="00EB0582"/>
    <w:rsid w:val="00EB0A53"/>
    <w:rsid w:val="00EB0B2F"/>
    <w:rsid w:val="00EB0F10"/>
    <w:rsid w:val="00EB1D2B"/>
    <w:rsid w:val="00EB25F7"/>
    <w:rsid w:val="00EB2647"/>
    <w:rsid w:val="00EB2757"/>
    <w:rsid w:val="00EB2942"/>
    <w:rsid w:val="00EB2BE1"/>
    <w:rsid w:val="00EB3302"/>
    <w:rsid w:val="00EB3A10"/>
    <w:rsid w:val="00EB3BA5"/>
    <w:rsid w:val="00EB3C7C"/>
    <w:rsid w:val="00EB40F2"/>
    <w:rsid w:val="00EB40F5"/>
    <w:rsid w:val="00EB464B"/>
    <w:rsid w:val="00EB4755"/>
    <w:rsid w:val="00EB4C57"/>
    <w:rsid w:val="00EB4F02"/>
    <w:rsid w:val="00EB60B7"/>
    <w:rsid w:val="00EB613B"/>
    <w:rsid w:val="00EB6682"/>
    <w:rsid w:val="00EB6F41"/>
    <w:rsid w:val="00EB75E9"/>
    <w:rsid w:val="00EB78F4"/>
    <w:rsid w:val="00EC01C8"/>
    <w:rsid w:val="00EC09E3"/>
    <w:rsid w:val="00EC0AF2"/>
    <w:rsid w:val="00EC1A53"/>
    <w:rsid w:val="00EC1C74"/>
    <w:rsid w:val="00EC1E62"/>
    <w:rsid w:val="00EC2790"/>
    <w:rsid w:val="00EC2A17"/>
    <w:rsid w:val="00EC37FF"/>
    <w:rsid w:val="00EC38BF"/>
    <w:rsid w:val="00EC3A41"/>
    <w:rsid w:val="00EC3A4F"/>
    <w:rsid w:val="00EC3E5F"/>
    <w:rsid w:val="00EC3E81"/>
    <w:rsid w:val="00EC4378"/>
    <w:rsid w:val="00EC4431"/>
    <w:rsid w:val="00EC5015"/>
    <w:rsid w:val="00EC5681"/>
    <w:rsid w:val="00EC5A7A"/>
    <w:rsid w:val="00EC5DCE"/>
    <w:rsid w:val="00EC6527"/>
    <w:rsid w:val="00EC688D"/>
    <w:rsid w:val="00EC68B3"/>
    <w:rsid w:val="00EC6A6B"/>
    <w:rsid w:val="00EC7055"/>
    <w:rsid w:val="00EC72C1"/>
    <w:rsid w:val="00EC74C5"/>
    <w:rsid w:val="00EC752F"/>
    <w:rsid w:val="00EC7820"/>
    <w:rsid w:val="00ED004A"/>
    <w:rsid w:val="00ED0D0F"/>
    <w:rsid w:val="00ED17C4"/>
    <w:rsid w:val="00ED1D76"/>
    <w:rsid w:val="00ED1D9E"/>
    <w:rsid w:val="00ED1F5B"/>
    <w:rsid w:val="00ED215B"/>
    <w:rsid w:val="00ED2329"/>
    <w:rsid w:val="00ED2770"/>
    <w:rsid w:val="00ED2D27"/>
    <w:rsid w:val="00ED2DB3"/>
    <w:rsid w:val="00ED3553"/>
    <w:rsid w:val="00ED3659"/>
    <w:rsid w:val="00ED3672"/>
    <w:rsid w:val="00ED39C2"/>
    <w:rsid w:val="00ED3DEB"/>
    <w:rsid w:val="00ED3E73"/>
    <w:rsid w:val="00ED4537"/>
    <w:rsid w:val="00ED45D9"/>
    <w:rsid w:val="00ED4BA5"/>
    <w:rsid w:val="00ED4D36"/>
    <w:rsid w:val="00ED5256"/>
    <w:rsid w:val="00ED533C"/>
    <w:rsid w:val="00ED53A1"/>
    <w:rsid w:val="00ED64E9"/>
    <w:rsid w:val="00ED7248"/>
    <w:rsid w:val="00ED74E9"/>
    <w:rsid w:val="00ED7986"/>
    <w:rsid w:val="00ED79A7"/>
    <w:rsid w:val="00ED7C00"/>
    <w:rsid w:val="00EE0248"/>
    <w:rsid w:val="00EE02AB"/>
    <w:rsid w:val="00EE0458"/>
    <w:rsid w:val="00EE05BE"/>
    <w:rsid w:val="00EE0C55"/>
    <w:rsid w:val="00EE1366"/>
    <w:rsid w:val="00EE17C9"/>
    <w:rsid w:val="00EE1A24"/>
    <w:rsid w:val="00EE1A6F"/>
    <w:rsid w:val="00EE1BAF"/>
    <w:rsid w:val="00EE25DC"/>
    <w:rsid w:val="00EE2846"/>
    <w:rsid w:val="00EE32D6"/>
    <w:rsid w:val="00EE3493"/>
    <w:rsid w:val="00EE3CDF"/>
    <w:rsid w:val="00EE3D4B"/>
    <w:rsid w:val="00EE4040"/>
    <w:rsid w:val="00EE49E1"/>
    <w:rsid w:val="00EE4B7F"/>
    <w:rsid w:val="00EE4C38"/>
    <w:rsid w:val="00EE4FE4"/>
    <w:rsid w:val="00EE5205"/>
    <w:rsid w:val="00EE5B0D"/>
    <w:rsid w:val="00EE5DF8"/>
    <w:rsid w:val="00EE66F2"/>
    <w:rsid w:val="00EE6D78"/>
    <w:rsid w:val="00EE7495"/>
    <w:rsid w:val="00EE75D2"/>
    <w:rsid w:val="00EF0173"/>
    <w:rsid w:val="00EF031C"/>
    <w:rsid w:val="00EF05C2"/>
    <w:rsid w:val="00EF0AC7"/>
    <w:rsid w:val="00EF1DBA"/>
    <w:rsid w:val="00EF27B7"/>
    <w:rsid w:val="00EF2EF7"/>
    <w:rsid w:val="00EF2FC3"/>
    <w:rsid w:val="00EF36F1"/>
    <w:rsid w:val="00EF3990"/>
    <w:rsid w:val="00EF3CE5"/>
    <w:rsid w:val="00EF3EE9"/>
    <w:rsid w:val="00EF40D0"/>
    <w:rsid w:val="00EF41D3"/>
    <w:rsid w:val="00EF4663"/>
    <w:rsid w:val="00EF4A13"/>
    <w:rsid w:val="00EF4C8B"/>
    <w:rsid w:val="00EF4D6A"/>
    <w:rsid w:val="00EF4F6E"/>
    <w:rsid w:val="00EF593F"/>
    <w:rsid w:val="00EF599C"/>
    <w:rsid w:val="00EF5B23"/>
    <w:rsid w:val="00EF5E34"/>
    <w:rsid w:val="00EF641F"/>
    <w:rsid w:val="00EF670E"/>
    <w:rsid w:val="00EF6A47"/>
    <w:rsid w:val="00EF75E0"/>
    <w:rsid w:val="00EF7B9F"/>
    <w:rsid w:val="00EF7E88"/>
    <w:rsid w:val="00F004F5"/>
    <w:rsid w:val="00F0094C"/>
    <w:rsid w:val="00F00B9F"/>
    <w:rsid w:val="00F00F07"/>
    <w:rsid w:val="00F019CA"/>
    <w:rsid w:val="00F01BF5"/>
    <w:rsid w:val="00F01D3B"/>
    <w:rsid w:val="00F025A4"/>
    <w:rsid w:val="00F0293D"/>
    <w:rsid w:val="00F02B56"/>
    <w:rsid w:val="00F02CD1"/>
    <w:rsid w:val="00F02E0B"/>
    <w:rsid w:val="00F030BC"/>
    <w:rsid w:val="00F0330E"/>
    <w:rsid w:val="00F039F9"/>
    <w:rsid w:val="00F03E13"/>
    <w:rsid w:val="00F04173"/>
    <w:rsid w:val="00F0472A"/>
    <w:rsid w:val="00F04A82"/>
    <w:rsid w:val="00F04C25"/>
    <w:rsid w:val="00F057A4"/>
    <w:rsid w:val="00F05AFD"/>
    <w:rsid w:val="00F0613D"/>
    <w:rsid w:val="00F065B3"/>
    <w:rsid w:val="00F06794"/>
    <w:rsid w:val="00F07945"/>
    <w:rsid w:val="00F07B23"/>
    <w:rsid w:val="00F1052E"/>
    <w:rsid w:val="00F106FA"/>
    <w:rsid w:val="00F10E09"/>
    <w:rsid w:val="00F10FB4"/>
    <w:rsid w:val="00F11371"/>
    <w:rsid w:val="00F115D3"/>
    <w:rsid w:val="00F1169B"/>
    <w:rsid w:val="00F11AA3"/>
    <w:rsid w:val="00F11C6F"/>
    <w:rsid w:val="00F11E2C"/>
    <w:rsid w:val="00F12BF8"/>
    <w:rsid w:val="00F12F50"/>
    <w:rsid w:val="00F132D4"/>
    <w:rsid w:val="00F132EA"/>
    <w:rsid w:val="00F13600"/>
    <w:rsid w:val="00F13958"/>
    <w:rsid w:val="00F13BF2"/>
    <w:rsid w:val="00F13C0A"/>
    <w:rsid w:val="00F13C72"/>
    <w:rsid w:val="00F13CBB"/>
    <w:rsid w:val="00F13D56"/>
    <w:rsid w:val="00F13D7F"/>
    <w:rsid w:val="00F14BAD"/>
    <w:rsid w:val="00F14FBE"/>
    <w:rsid w:val="00F1558E"/>
    <w:rsid w:val="00F15B8E"/>
    <w:rsid w:val="00F15E82"/>
    <w:rsid w:val="00F160CD"/>
    <w:rsid w:val="00F16F01"/>
    <w:rsid w:val="00F17404"/>
    <w:rsid w:val="00F177A2"/>
    <w:rsid w:val="00F179B9"/>
    <w:rsid w:val="00F17C8C"/>
    <w:rsid w:val="00F20060"/>
    <w:rsid w:val="00F200F2"/>
    <w:rsid w:val="00F208E2"/>
    <w:rsid w:val="00F209A6"/>
    <w:rsid w:val="00F20CF0"/>
    <w:rsid w:val="00F20F72"/>
    <w:rsid w:val="00F212FA"/>
    <w:rsid w:val="00F21394"/>
    <w:rsid w:val="00F2157E"/>
    <w:rsid w:val="00F21589"/>
    <w:rsid w:val="00F21A98"/>
    <w:rsid w:val="00F22157"/>
    <w:rsid w:val="00F222AA"/>
    <w:rsid w:val="00F22504"/>
    <w:rsid w:val="00F22EEF"/>
    <w:rsid w:val="00F231D1"/>
    <w:rsid w:val="00F231FB"/>
    <w:rsid w:val="00F23321"/>
    <w:rsid w:val="00F2362C"/>
    <w:rsid w:val="00F23772"/>
    <w:rsid w:val="00F24010"/>
    <w:rsid w:val="00F24053"/>
    <w:rsid w:val="00F24AA2"/>
    <w:rsid w:val="00F24F16"/>
    <w:rsid w:val="00F2547B"/>
    <w:rsid w:val="00F262C4"/>
    <w:rsid w:val="00F26623"/>
    <w:rsid w:val="00F2680D"/>
    <w:rsid w:val="00F26E00"/>
    <w:rsid w:val="00F271FB"/>
    <w:rsid w:val="00F3008C"/>
    <w:rsid w:val="00F30547"/>
    <w:rsid w:val="00F312BC"/>
    <w:rsid w:val="00F31AF2"/>
    <w:rsid w:val="00F31BDC"/>
    <w:rsid w:val="00F32066"/>
    <w:rsid w:val="00F3256C"/>
    <w:rsid w:val="00F32F34"/>
    <w:rsid w:val="00F3312F"/>
    <w:rsid w:val="00F336B7"/>
    <w:rsid w:val="00F33869"/>
    <w:rsid w:val="00F33B51"/>
    <w:rsid w:val="00F34111"/>
    <w:rsid w:val="00F34651"/>
    <w:rsid w:val="00F34DBC"/>
    <w:rsid w:val="00F352A1"/>
    <w:rsid w:val="00F35A5A"/>
    <w:rsid w:val="00F35D81"/>
    <w:rsid w:val="00F361F7"/>
    <w:rsid w:val="00F36310"/>
    <w:rsid w:val="00F36CBE"/>
    <w:rsid w:val="00F36F47"/>
    <w:rsid w:val="00F37EBC"/>
    <w:rsid w:val="00F4052C"/>
    <w:rsid w:val="00F40D0B"/>
    <w:rsid w:val="00F40E60"/>
    <w:rsid w:val="00F41263"/>
    <w:rsid w:val="00F4127C"/>
    <w:rsid w:val="00F41B02"/>
    <w:rsid w:val="00F41DF0"/>
    <w:rsid w:val="00F41E9F"/>
    <w:rsid w:val="00F41F2E"/>
    <w:rsid w:val="00F42379"/>
    <w:rsid w:val="00F42444"/>
    <w:rsid w:val="00F426ED"/>
    <w:rsid w:val="00F429FE"/>
    <w:rsid w:val="00F42B48"/>
    <w:rsid w:val="00F42C52"/>
    <w:rsid w:val="00F42FBE"/>
    <w:rsid w:val="00F4300D"/>
    <w:rsid w:val="00F4311F"/>
    <w:rsid w:val="00F43C67"/>
    <w:rsid w:val="00F4413E"/>
    <w:rsid w:val="00F446F9"/>
    <w:rsid w:val="00F44D55"/>
    <w:rsid w:val="00F44F23"/>
    <w:rsid w:val="00F45094"/>
    <w:rsid w:val="00F451C4"/>
    <w:rsid w:val="00F4531E"/>
    <w:rsid w:val="00F45433"/>
    <w:rsid w:val="00F4552E"/>
    <w:rsid w:val="00F4583E"/>
    <w:rsid w:val="00F458F1"/>
    <w:rsid w:val="00F45C17"/>
    <w:rsid w:val="00F45D01"/>
    <w:rsid w:val="00F45DDE"/>
    <w:rsid w:val="00F4607B"/>
    <w:rsid w:val="00F46831"/>
    <w:rsid w:val="00F46D86"/>
    <w:rsid w:val="00F473D6"/>
    <w:rsid w:val="00F47A68"/>
    <w:rsid w:val="00F47E72"/>
    <w:rsid w:val="00F500E2"/>
    <w:rsid w:val="00F50381"/>
    <w:rsid w:val="00F506D3"/>
    <w:rsid w:val="00F507EB"/>
    <w:rsid w:val="00F50AB8"/>
    <w:rsid w:val="00F50ABB"/>
    <w:rsid w:val="00F51127"/>
    <w:rsid w:val="00F51661"/>
    <w:rsid w:val="00F51904"/>
    <w:rsid w:val="00F52400"/>
    <w:rsid w:val="00F52B68"/>
    <w:rsid w:val="00F52BAE"/>
    <w:rsid w:val="00F52FDE"/>
    <w:rsid w:val="00F5306F"/>
    <w:rsid w:val="00F53209"/>
    <w:rsid w:val="00F5354B"/>
    <w:rsid w:val="00F53BCE"/>
    <w:rsid w:val="00F54003"/>
    <w:rsid w:val="00F54196"/>
    <w:rsid w:val="00F54282"/>
    <w:rsid w:val="00F5440A"/>
    <w:rsid w:val="00F54D09"/>
    <w:rsid w:val="00F55222"/>
    <w:rsid w:val="00F556A3"/>
    <w:rsid w:val="00F55A2F"/>
    <w:rsid w:val="00F55DA5"/>
    <w:rsid w:val="00F55E6A"/>
    <w:rsid w:val="00F56298"/>
    <w:rsid w:val="00F563EF"/>
    <w:rsid w:val="00F565C3"/>
    <w:rsid w:val="00F569FA"/>
    <w:rsid w:val="00F56DCA"/>
    <w:rsid w:val="00F56F09"/>
    <w:rsid w:val="00F571E6"/>
    <w:rsid w:val="00F57248"/>
    <w:rsid w:val="00F574CE"/>
    <w:rsid w:val="00F57582"/>
    <w:rsid w:val="00F5768E"/>
    <w:rsid w:val="00F57795"/>
    <w:rsid w:val="00F57A7F"/>
    <w:rsid w:val="00F57BD5"/>
    <w:rsid w:val="00F60816"/>
    <w:rsid w:val="00F609A7"/>
    <w:rsid w:val="00F60CA8"/>
    <w:rsid w:val="00F60E0F"/>
    <w:rsid w:val="00F61046"/>
    <w:rsid w:val="00F61313"/>
    <w:rsid w:val="00F61585"/>
    <w:rsid w:val="00F61ABA"/>
    <w:rsid w:val="00F61B3A"/>
    <w:rsid w:val="00F62189"/>
    <w:rsid w:val="00F62394"/>
    <w:rsid w:val="00F62EC1"/>
    <w:rsid w:val="00F63409"/>
    <w:rsid w:val="00F63837"/>
    <w:rsid w:val="00F63D87"/>
    <w:rsid w:val="00F63ED5"/>
    <w:rsid w:val="00F647C6"/>
    <w:rsid w:val="00F64E8C"/>
    <w:rsid w:val="00F65167"/>
    <w:rsid w:val="00F659CB"/>
    <w:rsid w:val="00F65BF9"/>
    <w:rsid w:val="00F65C7D"/>
    <w:rsid w:val="00F6664A"/>
    <w:rsid w:val="00F66982"/>
    <w:rsid w:val="00F66C13"/>
    <w:rsid w:val="00F66D74"/>
    <w:rsid w:val="00F67419"/>
    <w:rsid w:val="00F708B2"/>
    <w:rsid w:val="00F70B2B"/>
    <w:rsid w:val="00F719E5"/>
    <w:rsid w:val="00F71C83"/>
    <w:rsid w:val="00F7218D"/>
    <w:rsid w:val="00F7234F"/>
    <w:rsid w:val="00F72496"/>
    <w:rsid w:val="00F7279B"/>
    <w:rsid w:val="00F72AFD"/>
    <w:rsid w:val="00F73635"/>
    <w:rsid w:val="00F738B1"/>
    <w:rsid w:val="00F73D0C"/>
    <w:rsid w:val="00F74090"/>
    <w:rsid w:val="00F740E8"/>
    <w:rsid w:val="00F74546"/>
    <w:rsid w:val="00F74CC4"/>
    <w:rsid w:val="00F755D4"/>
    <w:rsid w:val="00F75E24"/>
    <w:rsid w:val="00F762CA"/>
    <w:rsid w:val="00F76E52"/>
    <w:rsid w:val="00F76E7A"/>
    <w:rsid w:val="00F76F0A"/>
    <w:rsid w:val="00F770BC"/>
    <w:rsid w:val="00F77CF0"/>
    <w:rsid w:val="00F80143"/>
    <w:rsid w:val="00F801B8"/>
    <w:rsid w:val="00F8045C"/>
    <w:rsid w:val="00F80814"/>
    <w:rsid w:val="00F808EB"/>
    <w:rsid w:val="00F80A8B"/>
    <w:rsid w:val="00F8110D"/>
    <w:rsid w:val="00F8170D"/>
    <w:rsid w:val="00F8197D"/>
    <w:rsid w:val="00F81C9F"/>
    <w:rsid w:val="00F81FA2"/>
    <w:rsid w:val="00F8295A"/>
    <w:rsid w:val="00F8301C"/>
    <w:rsid w:val="00F83721"/>
    <w:rsid w:val="00F839E5"/>
    <w:rsid w:val="00F83C56"/>
    <w:rsid w:val="00F83D16"/>
    <w:rsid w:val="00F84275"/>
    <w:rsid w:val="00F842D8"/>
    <w:rsid w:val="00F844A0"/>
    <w:rsid w:val="00F84631"/>
    <w:rsid w:val="00F84BD2"/>
    <w:rsid w:val="00F84DE2"/>
    <w:rsid w:val="00F85173"/>
    <w:rsid w:val="00F851D8"/>
    <w:rsid w:val="00F8547F"/>
    <w:rsid w:val="00F8559A"/>
    <w:rsid w:val="00F8588C"/>
    <w:rsid w:val="00F85A5C"/>
    <w:rsid w:val="00F85A8A"/>
    <w:rsid w:val="00F85B81"/>
    <w:rsid w:val="00F85C07"/>
    <w:rsid w:val="00F85C46"/>
    <w:rsid w:val="00F85F8F"/>
    <w:rsid w:val="00F860E1"/>
    <w:rsid w:val="00F86190"/>
    <w:rsid w:val="00F86572"/>
    <w:rsid w:val="00F866EB"/>
    <w:rsid w:val="00F86CFD"/>
    <w:rsid w:val="00F872E1"/>
    <w:rsid w:val="00F90205"/>
    <w:rsid w:val="00F9037F"/>
    <w:rsid w:val="00F90652"/>
    <w:rsid w:val="00F90698"/>
    <w:rsid w:val="00F90AA9"/>
    <w:rsid w:val="00F90B0E"/>
    <w:rsid w:val="00F90DE4"/>
    <w:rsid w:val="00F91742"/>
    <w:rsid w:val="00F91B51"/>
    <w:rsid w:val="00F91EAB"/>
    <w:rsid w:val="00F91F18"/>
    <w:rsid w:val="00F91FC8"/>
    <w:rsid w:val="00F922C8"/>
    <w:rsid w:val="00F923BA"/>
    <w:rsid w:val="00F925A8"/>
    <w:rsid w:val="00F925CF"/>
    <w:rsid w:val="00F92AED"/>
    <w:rsid w:val="00F92D22"/>
    <w:rsid w:val="00F92ED6"/>
    <w:rsid w:val="00F93166"/>
    <w:rsid w:val="00F932C4"/>
    <w:rsid w:val="00F937E3"/>
    <w:rsid w:val="00F93A39"/>
    <w:rsid w:val="00F93F65"/>
    <w:rsid w:val="00F93FED"/>
    <w:rsid w:val="00F94670"/>
    <w:rsid w:val="00F94A88"/>
    <w:rsid w:val="00F94B17"/>
    <w:rsid w:val="00F9549D"/>
    <w:rsid w:val="00F95B57"/>
    <w:rsid w:val="00F96029"/>
    <w:rsid w:val="00F961E6"/>
    <w:rsid w:val="00F968DD"/>
    <w:rsid w:val="00F9692A"/>
    <w:rsid w:val="00F96984"/>
    <w:rsid w:val="00F96DD5"/>
    <w:rsid w:val="00F97593"/>
    <w:rsid w:val="00F97687"/>
    <w:rsid w:val="00F976D7"/>
    <w:rsid w:val="00F97AE7"/>
    <w:rsid w:val="00F97F2B"/>
    <w:rsid w:val="00FA02D8"/>
    <w:rsid w:val="00FA089D"/>
    <w:rsid w:val="00FA09A9"/>
    <w:rsid w:val="00FA0FF3"/>
    <w:rsid w:val="00FA10B3"/>
    <w:rsid w:val="00FA1599"/>
    <w:rsid w:val="00FA1602"/>
    <w:rsid w:val="00FA1F69"/>
    <w:rsid w:val="00FA23E5"/>
    <w:rsid w:val="00FA26F4"/>
    <w:rsid w:val="00FA2C6B"/>
    <w:rsid w:val="00FA2F68"/>
    <w:rsid w:val="00FA3145"/>
    <w:rsid w:val="00FA314A"/>
    <w:rsid w:val="00FA3442"/>
    <w:rsid w:val="00FA3F0C"/>
    <w:rsid w:val="00FA41B4"/>
    <w:rsid w:val="00FA490E"/>
    <w:rsid w:val="00FA4A66"/>
    <w:rsid w:val="00FA558A"/>
    <w:rsid w:val="00FA5759"/>
    <w:rsid w:val="00FA6165"/>
    <w:rsid w:val="00FA61F4"/>
    <w:rsid w:val="00FA63D2"/>
    <w:rsid w:val="00FA6542"/>
    <w:rsid w:val="00FA69F3"/>
    <w:rsid w:val="00FA75BF"/>
    <w:rsid w:val="00FA75DD"/>
    <w:rsid w:val="00FA76B6"/>
    <w:rsid w:val="00FB01B0"/>
    <w:rsid w:val="00FB05DD"/>
    <w:rsid w:val="00FB0A3C"/>
    <w:rsid w:val="00FB1B22"/>
    <w:rsid w:val="00FB1DD7"/>
    <w:rsid w:val="00FB1F7F"/>
    <w:rsid w:val="00FB20C8"/>
    <w:rsid w:val="00FB2268"/>
    <w:rsid w:val="00FB2F82"/>
    <w:rsid w:val="00FB2F9D"/>
    <w:rsid w:val="00FB323A"/>
    <w:rsid w:val="00FB33A3"/>
    <w:rsid w:val="00FB389E"/>
    <w:rsid w:val="00FB3DCF"/>
    <w:rsid w:val="00FB3E44"/>
    <w:rsid w:val="00FB3EDB"/>
    <w:rsid w:val="00FB438B"/>
    <w:rsid w:val="00FB56E9"/>
    <w:rsid w:val="00FB6093"/>
    <w:rsid w:val="00FB63D3"/>
    <w:rsid w:val="00FB6795"/>
    <w:rsid w:val="00FB6E93"/>
    <w:rsid w:val="00FB714D"/>
    <w:rsid w:val="00FB744A"/>
    <w:rsid w:val="00FB7A36"/>
    <w:rsid w:val="00FC030F"/>
    <w:rsid w:val="00FC0559"/>
    <w:rsid w:val="00FC0816"/>
    <w:rsid w:val="00FC0B2E"/>
    <w:rsid w:val="00FC0B63"/>
    <w:rsid w:val="00FC1645"/>
    <w:rsid w:val="00FC1AD8"/>
    <w:rsid w:val="00FC1CBA"/>
    <w:rsid w:val="00FC1CF8"/>
    <w:rsid w:val="00FC2079"/>
    <w:rsid w:val="00FC2A3E"/>
    <w:rsid w:val="00FC2CB2"/>
    <w:rsid w:val="00FC2F26"/>
    <w:rsid w:val="00FC38BA"/>
    <w:rsid w:val="00FC3F48"/>
    <w:rsid w:val="00FC3F56"/>
    <w:rsid w:val="00FC46FE"/>
    <w:rsid w:val="00FC48E6"/>
    <w:rsid w:val="00FC4EB1"/>
    <w:rsid w:val="00FC5A23"/>
    <w:rsid w:val="00FC6815"/>
    <w:rsid w:val="00FC714D"/>
    <w:rsid w:val="00FC7300"/>
    <w:rsid w:val="00FC744D"/>
    <w:rsid w:val="00FC7815"/>
    <w:rsid w:val="00FC7BF2"/>
    <w:rsid w:val="00FC7CBB"/>
    <w:rsid w:val="00FC7F4A"/>
    <w:rsid w:val="00FD027B"/>
    <w:rsid w:val="00FD0355"/>
    <w:rsid w:val="00FD0C94"/>
    <w:rsid w:val="00FD1223"/>
    <w:rsid w:val="00FD2020"/>
    <w:rsid w:val="00FD22D7"/>
    <w:rsid w:val="00FD272D"/>
    <w:rsid w:val="00FD2971"/>
    <w:rsid w:val="00FD29BC"/>
    <w:rsid w:val="00FD2DDF"/>
    <w:rsid w:val="00FD3307"/>
    <w:rsid w:val="00FD33A1"/>
    <w:rsid w:val="00FD35FC"/>
    <w:rsid w:val="00FD3716"/>
    <w:rsid w:val="00FD4349"/>
    <w:rsid w:val="00FD45C8"/>
    <w:rsid w:val="00FD460B"/>
    <w:rsid w:val="00FD500B"/>
    <w:rsid w:val="00FD562E"/>
    <w:rsid w:val="00FD57D7"/>
    <w:rsid w:val="00FD57F3"/>
    <w:rsid w:val="00FD596D"/>
    <w:rsid w:val="00FD5D12"/>
    <w:rsid w:val="00FD5F10"/>
    <w:rsid w:val="00FD60C5"/>
    <w:rsid w:val="00FD6890"/>
    <w:rsid w:val="00FD6968"/>
    <w:rsid w:val="00FD7375"/>
    <w:rsid w:val="00FD7BFB"/>
    <w:rsid w:val="00FD7EEA"/>
    <w:rsid w:val="00FD7F95"/>
    <w:rsid w:val="00FE000C"/>
    <w:rsid w:val="00FE01C8"/>
    <w:rsid w:val="00FE058E"/>
    <w:rsid w:val="00FE0641"/>
    <w:rsid w:val="00FE0643"/>
    <w:rsid w:val="00FE0B5B"/>
    <w:rsid w:val="00FE179F"/>
    <w:rsid w:val="00FE17DF"/>
    <w:rsid w:val="00FE2108"/>
    <w:rsid w:val="00FE2164"/>
    <w:rsid w:val="00FE2AC1"/>
    <w:rsid w:val="00FE2AED"/>
    <w:rsid w:val="00FE2B09"/>
    <w:rsid w:val="00FE30B7"/>
    <w:rsid w:val="00FE355E"/>
    <w:rsid w:val="00FE3607"/>
    <w:rsid w:val="00FE369E"/>
    <w:rsid w:val="00FE36B7"/>
    <w:rsid w:val="00FE3A56"/>
    <w:rsid w:val="00FE3BA7"/>
    <w:rsid w:val="00FE3FB9"/>
    <w:rsid w:val="00FE3FE4"/>
    <w:rsid w:val="00FE439A"/>
    <w:rsid w:val="00FE4788"/>
    <w:rsid w:val="00FE54BE"/>
    <w:rsid w:val="00FE5C8A"/>
    <w:rsid w:val="00FE623B"/>
    <w:rsid w:val="00FE688E"/>
    <w:rsid w:val="00FE697D"/>
    <w:rsid w:val="00FE6F1A"/>
    <w:rsid w:val="00FF003E"/>
    <w:rsid w:val="00FF0088"/>
    <w:rsid w:val="00FF04BA"/>
    <w:rsid w:val="00FF1158"/>
    <w:rsid w:val="00FF123A"/>
    <w:rsid w:val="00FF1404"/>
    <w:rsid w:val="00FF1429"/>
    <w:rsid w:val="00FF142E"/>
    <w:rsid w:val="00FF1886"/>
    <w:rsid w:val="00FF1E6F"/>
    <w:rsid w:val="00FF278D"/>
    <w:rsid w:val="00FF27B4"/>
    <w:rsid w:val="00FF2BC9"/>
    <w:rsid w:val="00FF2ECD"/>
    <w:rsid w:val="00FF34FF"/>
    <w:rsid w:val="00FF373B"/>
    <w:rsid w:val="00FF3D42"/>
    <w:rsid w:val="00FF4140"/>
    <w:rsid w:val="00FF41F6"/>
    <w:rsid w:val="00FF422E"/>
    <w:rsid w:val="00FF4700"/>
    <w:rsid w:val="00FF4A6F"/>
    <w:rsid w:val="00FF4AA9"/>
    <w:rsid w:val="00FF4E67"/>
    <w:rsid w:val="00FF5667"/>
    <w:rsid w:val="00FF56C6"/>
    <w:rsid w:val="00FF5D57"/>
    <w:rsid w:val="00FF5EFD"/>
    <w:rsid w:val="00FF5FEE"/>
    <w:rsid w:val="00FF63DF"/>
    <w:rsid w:val="00FF695E"/>
    <w:rsid w:val="00FF69C9"/>
    <w:rsid w:val="00FF70B0"/>
    <w:rsid w:val="00FF7A87"/>
    <w:rsid w:val="00FF7AA7"/>
    <w:rsid w:val="00FF7F25"/>
    <w:rsid w:val="01166123"/>
    <w:rsid w:val="01193A59"/>
    <w:rsid w:val="0149706A"/>
    <w:rsid w:val="014B5D9D"/>
    <w:rsid w:val="01623DF4"/>
    <w:rsid w:val="01813194"/>
    <w:rsid w:val="018C4E10"/>
    <w:rsid w:val="01AD625E"/>
    <w:rsid w:val="01E376C5"/>
    <w:rsid w:val="01F93655"/>
    <w:rsid w:val="024541E2"/>
    <w:rsid w:val="028A4D94"/>
    <w:rsid w:val="02A67FEB"/>
    <w:rsid w:val="02C27538"/>
    <w:rsid w:val="02CB42F3"/>
    <w:rsid w:val="02D95A87"/>
    <w:rsid w:val="02EB1A31"/>
    <w:rsid w:val="0306050F"/>
    <w:rsid w:val="0311359D"/>
    <w:rsid w:val="033A2E6B"/>
    <w:rsid w:val="034D5AD2"/>
    <w:rsid w:val="036E3564"/>
    <w:rsid w:val="03B73C22"/>
    <w:rsid w:val="03B7453F"/>
    <w:rsid w:val="03C85365"/>
    <w:rsid w:val="03D171A7"/>
    <w:rsid w:val="03D42159"/>
    <w:rsid w:val="03DA6C86"/>
    <w:rsid w:val="03DE7512"/>
    <w:rsid w:val="040E4833"/>
    <w:rsid w:val="042E3BDF"/>
    <w:rsid w:val="042F1002"/>
    <w:rsid w:val="04447C19"/>
    <w:rsid w:val="0469222B"/>
    <w:rsid w:val="04B85375"/>
    <w:rsid w:val="04BE41CE"/>
    <w:rsid w:val="04E954F9"/>
    <w:rsid w:val="060600E4"/>
    <w:rsid w:val="061864E1"/>
    <w:rsid w:val="062B112A"/>
    <w:rsid w:val="06547472"/>
    <w:rsid w:val="0690732E"/>
    <w:rsid w:val="06BB0EB0"/>
    <w:rsid w:val="06D767B9"/>
    <w:rsid w:val="06EE09C4"/>
    <w:rsid w:val="07790340"/>
    <w:rsid w:val="07811C6E"/>
    <w:rsid w:val="078A6A06"/>
    <w:rsid w:val="0799034B"/>
    <w:rsid w:val="07AA5731"/>
    <w:rsid w:val="07B84836"/>
    <w:rsid w:val="07D715B0"/>
    <w:rsid w:val="07E07F23"/>
    <w:rsid w:val="08083BF3"/>
    <w:rsid w:val="08121FA5"/>
    <w:rsid w:val="081656F0"/>
    <w:rsid w:val="08402E48"/>
    <w:rsid w:val="08436133"/>
    <w:rsid w:val="085F38A3"/>
    <w:rsid w:val="086B53B3"/>
    <w:rsid w:val="08B30835"/>
    <w:rsid w:val="08CA2667"/>
    <w:rsid w:val="091C719C"/>
    <w:rsid w:val="092E762D"/>
    <w:rsid w:val="097B4BAC"/>
    <w:rsid w:val="09A64982"/>
    <w:rsid w:val="09B10A3B"/>
    <w:rsid w:val="09CA74D8"/>
    <w:rsid w:val="0A053CD6"/>
    <w:rsid w:val="0A085DE9"/>
    <w:rsid w:val="0A0F7C5B"/>
    <w:rsid w:val="0A1039CB"/>
    <w:rsid w:val="0A130914"/>
    <w:rsid w:val="0A284254"/>
    <w:rsid w:val="0A5A0CCD"/>
    <w:rsid w:val="0A5E0EA1"/>
    <w:rsid w:val="0A99506A"/>
    <w:rsid w:val="0ADD1555"/>
    <w:rsid w:val="0B1E4124"/>
    <w:rsid w:val="0B5322BB"/>
    <w:rsid w:val="0B816734"/>
    <w:rsid w:val="0B9E0B65"/>
    <w:rsid w:val="0BB35673"/>
    <w:rsid w:val="0BFD0200"/>
    <w:rsid w:val="0C091CB0"/>
    <w:rsid w:val="0C0D744B"/>
    <w:rsid w:val="0C171831"/>
    <w:rsid w:val="0C29592D"/>
    <w:rsid w:val="0C364FF6"/>
    <w:rsid w:val="0C466B6F"/>
    <w:rsid w:val="0C4B1CAC"/>
    <w:rsid w:val="0C503622"/>
    <w:rsid w:val="0C591714"/>
    <w:rsid w:val="0C6319F4"/>
    <w:rsid w:val="0CCC39BF"/>
    <w:rsid w:val="0CF70FFC"/>
    <w:rsid w:val="0D0C689D"/>
    <w:rsid w:val="0D217655"/>
    <w:rsid w:val="0D233320"/>
    <w:rsid w:val="0D981FA3"/>
    <w:rsid w:val="0DA9162B"/>
    <w:rsid w:val="0DCB1A41"/>
    <w:rsid w:val="0DED3021"/>
    <w:rsid w:val="0DF57CAB"/>
    <w:rsid w:val="0DF76BBE"/>
    <w:rsid w:val="0E4004C4"/>
    <w:rsid w:val="0E605432"/>
    <w:rsid w:val="0E6A4DF0"/>
    <w:rsid w:val="0E7273F9"/>
    <w:rsid w:val="0EBE79F1"/>
    <w:rsid w:val="0F0E0560"/>
    <w:rsid w:val="0F124814"/>
    <w:rsid w:val="0F2135FB"/>
    <w:rsid w:val="0F43483D"/>
    <w:rsid w:val="0F6D4BE2"/>
    <w:rsid w:val="0FD41D74"/>
    <w:rsid w:val="0FD60E0E"/>
    <w:rsid w:val="0FDB71CE"/>
    <w:rsid w:val="0FE353A5"/>
    <w:rsid w:val="105D13C1"/>
    <w:rsid w:val="10B14313"/>
    <w:rsid w:val="10B776CF"/>
    <w:rsid w:val="10DB0B79"/>
    <w:rsid w:val="10E3136C"/>
    <w:rsid w:val="10E9119E"/>
    <w:rsid w:val="10F803FA"/>
    <w:rsid w:val="1106038D"/>
    <w:rsid w:val="1136212B"/>
    <w:rsid w:val="114617FE"/>
    <w:rsid w:val="117441B4"/>
    <w:rsid w:val="11835746"/>
    <w:rsid w:val="11840B16"/>
    <w:rsid w:val="11C56239"/>
    <w:rsid w:val="11CA53B2"/>
    <w:rsid w:val="11D972EE"/>
    <w:rsid w:val="11DF4BC9"/>
    <w:rsid w:val="11EF2919"/>
    <w:rsid w:val="12155A83"/>
    <w:rsid w:val="12334A5F"/>
    <w:rsid w:val="123922F2"/>
    <w:rsid w:val="126E7AEF"/>
    <w:rsid w:val="127E604D"/>
    <w:rsid w:val="12BB6307"/>
    <w:rsid w:val="132E115C"/>
    <w:rsid w:val="1347637A"/>
    <w:rsid w:val="13580386"/>
    <w:rsid w:val="1358266F"/>
    <w:rsid w:val="137C5099"/>
    <w:rsid w:val="13B50BBE"/>
    <w:rsid w:val="13B966DE"/>
    <w:rsid w:val="13DC2552"/>
    <w:rsid w:val="13F94A62"/>
    <w:rsid w:val="13FF1337"/>
    <w:rsid w:val="14112A54"/>
    <w:rsid w:val="14165E68"/>
    <w:rsid w:val="14323EFF"/>
    <w:rsid w:val="145A3D1B"/>
    <w:rsid w:val="146F1C00"/>
    <w:rsid w:val="14833DFA"/>
    <w:rsid w:val="14A41CF9"/>
    <w:rsid w:val="14D8719F"/>
    <w:rsid w:val="14E36748"/>
    <w:rsid w:val="15306F04"/>
    <w:rsid w:val="15440AA4"/>
    <w:rsid w:val="15503B82"/>
    <w:rsid w:val="156230A2"/>
    <w:rsid w:val="15990805"/>
    <w:rsid w:val="15B64C6C"/>
    <w:rsid w:val="15C15D11"/>
    <w:rsid w:val="15CB01DE"/>
    <w:rsid w:val="15D65165"/>
    <w:rsid w:val="15E36279"/>
    <w:rsid w:val="15F81A35"/>
    <w:rsid w:val="1681384E"/>
    <w:rsid w:val="16A24FA0"/>
    <w:rsid w:val="16C42867"/>
    <w:rsid w:val="16CC25B0"/>
    <w:rsid w:val="16FA4184"/>
    <w:rsid w:val="170C14B3"/>
    <w:rsid w:val="173A721D"/>
    <w:rsid w:val="17433979"/>
    <w:rsid w:val="1768135A"/>
    <w:rsid w:val="178118AF"/>
    <w:rsid w:val="17B34E39"/>
    <w:rsid w:val="17C51AC9"/>
    <w:rsid w:val="17CB4230"/>
    <w:rsid w:val="17D8057F"/>
    <w:rsid w:val="17DA12D7"/>
    <w:rsid w:val="17E04D27"/>
    <w:rsid w:val="17E912CA"/>
    <w:rsid w:val="184E3B3A"/>
    <w:rsid w:val="1886428B"/>
    <w:rsid w:val="188B2739"/>
    <w:rsid w:val="18C319B5"/>
    <w:rsid w:val="18D844AF"/>
    <w:rsid w:val="18E87A5D"/>
    <w:rsid w:val="19080A5A"/>
    <w:rsid w:val="190B0D87"/>
    <w:rsid w:val="195651BA"/>
    <w:rsid w:val="198F45DD"/>
    <w:rsid w:val="1996768E"/>
    <w:rsid w:val="1A0A0B65"/>
    <w:rsid w:val="1A107C4B"/>
    <w:rsid w:val="1A315142"/>
    <w:rsid w:val="1AA26902"/>
    <w:rsid w:val="1AA45355"/>
    <w:rsid w:val="1AB00207"/>
    <w:rsid w:val="1ABE7D37"/>
    <w:rsid w:val="1AC1475C"/>
    <w:rsid w:val="1AD767A4"/>
    <w:rsid w:val="1B052648"/>
    <w:rsid w:val="1B0C0AEB"/>
    <w:rsid w:val="1B1073A7"/>
    <w:rsid w:val="1B1B27AF"/>
    <w:rsid w:val="1B9C1B7E"/>
    <w:rsid w:val="1C0E6C08"/>
    <w:rsid w:val="1C114AF8"/>
    <w:rsid w:val="1C215368"/>
    <w:rsid w:val="1C496310"/>
    <w:rsid w:val="1C4F2D2B"/>
    <w:rsid w:val="1C5D4224"/>
    <w:rsid w:val="1C7A1A02"/>
    <w:rsid w:val="1C8F0A08"/>
    <w:rsid w:val="1CA42BA9"/>
    <w:rsid w:val="1CC649DE"/>
    <w:rsid w:val="1CFB1092"/>
    <w:rsid w:val="1D0708FE"/>
    <w:rsid w:val="1D636003"/>
    <w:rsid w:val="1D815C8A"/>
    <w:rsid w:val="1DA81D1F"/>
    <w:rsid w:val="1DDD6435"/>
    <w:rsid w:val="1E2F6AB6"/>
    <w:rsid w:val="1E6F3B06"/>
    <w:rsid w:val="1E7B2BA0"/>
    <w:rsid w:val="1E844BA6"/>
    <w:rsid w:val="1E8B087E"/>
    <w:rsid w:val="1EA36749"/>
    <w:rsid w:val="1EFB1085"/>
    <w:rsid w:val="1EFC3FAB"/>
    <w:rsid w:val="1F182BC2"/>
    <w:rsid w:val="1F3D2A51"/>
    <w:rsid w:val="1F3E3733"/>
    <w:rsid w:val="1F5E4FF4"/>
    <w:rsid w:val="1F691F8B"/>
    <w:rsid w:val="1F7F1019"/>
    <w:rsid w:val="1F9675F9"/>
    <w:rsid w:val="1FB27655"/>
    <w:rsid w:val="1FBD7732"/>
    <w:rsid w:val="1FEA1845"/>
    <w:rsid w:val="1FF037A6"/>
    <w:rsid w:val="1FF512FD"/>
    <w:rsid w:val="20030911"/>
    <w:rsid w:val="20410913"/>
    <w:rsid w:val="2045604F"/>
    <w:rsid w:val="205516BE"/>
    <w:rsid w:val="207D64D7"/>
    <w:rsid w:val="208166FD"/>
    <w:rsid w:val="20924364"/>
    <w:rsid w:val="209E0CEA"/>
    <w:rsid w:val="20CF276C"/>
    <w:rsid w:val="20D97888"/>
    <w:rsid w:val="21056ADC"/>
    <w:rsid w:val="215B274B"/>
    <w:rsid w:val="216D33DF"/>
    <w:rsid w:val="2174526F"/>
    <w:rsid w:val="21C65751"/>
    <w:rsid w:val="21C65F78"/>
    <w:rsid w:val="21C82888"/>
    <w:rsid w:val="21E23CAE"/>
    <w:rsid w:val="224D2EBB"/>
    <w:rsid w:val="22634B43"/>
    <w:rsid w:val="22A129F3"/>
    <w:rsid w:val="22CE1F32"/>
    <w:rsid w:val="22FC0047"/>
    <w:rsid w:val="234B62FA"/>
    <w:rsid w:val="237960DC"/>
    <w:rsid w:val="23A15217"/>
    <w:rsid w:val="23A313F6"/>
    <w:rsid w:val="23AD60D7"/>
    <w:rsid w:val="23BA4644"/>
    <w:rsid w:val="23C12F43"/>
    <w:rsid w:val="244C148E"/>
    <w:rsid w:val="245743B5"/>
    <w:rsid w:val="247373FE"/>
    <w:rsid w:val="247513E0"/>
    <w:rsid w:val="24CD4542"/>
    <w:rsid w:val="24D52ABE"/>
    <w:rsid w:val="251657BB"/>
    <w:rsid w:val="254834C1"/>
    <w:rsid w:val="2556432B"/>
    <w:rsid w:val="25690DB4"/>
    <w:rsid w:val="259B7DF7"/>
    <w:rsid w:val="25B81417"/>
    <w:rsid w:val="25BB704A"/>
    <w:rsid w:val="25FE407C"/>
    <w:rsid w:val="26434C04"/>
    <w:rsid w:val="264A7883"/>
    <w:rsid w:val="267124FF"/>
    <w:rsid w:val="26894387"/>
    <w:rsid w:val="26AE7FB2"/>
    <w:rsid w:val="26B202A4"/>
    <w:rsid w:val="26D20470"/>
    <w:rsid w:val="26D4632B"/>
    <w:rsid w:val="26DF0CF8"/>
    <w:rsid w:val="275470A4"/>
    <w:rsid w:val="277F0FE5"/>
    <w:rsid w:val="27B3313C"/>
    <w:rsid w:val="27B82A5B"/>
    <w:rsid w:val="27C719BF"/>
    <w:rsid w:val="27FB14E9"/>
    <w:rsid w:val="27FF4502"/>
    <w:rsid w:val="28425FD1"/>
    <w:rsid w:val="286354F2"/>
    <w:rsid w:val="28650795"/>
    <w:rsid w:val="28782C39"/>
    <w:rsid w:val="28840AAD"/>
    <w:rsid w:val="28904541"/>
    <w:rsid w:val="28954ED3"/>
    <w:rsid w:val="28B52071"/>
    <w:rsid w:val="28D31AE7"/>
    <w:rsid w:val="28EF66F6"/>
    <w:rsid w:val="28F4425B"/>
    <w:rsid w:val="29064877"/>
    <w:rsid w:val="29216FE3"/>
    <w:rsid w:val="292D3D2F"/>
    <w:rsid w:val="293B4155"/>
    <w:rsid w:val="29654FEE"/>
    <w:rsid w:val="29937C67"/>
    <w:rsid w:val="29C36304"/>
    <w:rsid w:val="29D943DF"/>
    <w:rsid w:val="2A12193D"/>
    <w:rsid w:val="2A1C742C"/>
    <w:rsid w:val="2A2324BE"/>
    <w:rsid w:val="2A515500"/>
    <w:rsid w:val="2A714F67"/>
    <w:rsid w:val="2ADA009F"/>
    <w:rsid w:val="2AE06BC0"/>
    <w:rsid w:val="2AE33FB8"/>
    <w:rsid w:val="2AEB310F"/>
    <w:rsid w:val="2B0428DA"/>
    <w:rsid w:val="2B09698D"/>
    <w:rsid w:val="2B5C01FD"/>
    <w:rsid w:val="2B7111A7"/>
    <w:rsid w:val="2B946674"/>
    <w:rsid w:val="2B9D4C9F"/>
    <w:rsid w:val="2B9E2D01"/>
    <w:rsid w:val="2BA13802"/>
    <w:rsid w:val="2BA957F2"/>
    <w:rsid w:val="2BAE1FA2"/>
    <w:rsid w:val="2BB52FB9"/>
    <w:rsid w:val="2BBD31DA"/>
    <w:rsid w:val="2BC44501"/>
    <w:rsid w:val="2BC94D9A"/>
    <w:rsid w:val="2BE0439F"/>
    <w:rsid w:val="2BEC7D02"/>
    <w:rsid w:val="2C2A1B48"/>
    <w:rsid w:val="2C2A6227"/>
    <w:rsid w:val="2C3459DF"/>
    <w:rsid w:val="2C380D85"/>
    <w:rsid w:val="2C693C27"/>
    <w:rsid w:val="2C8103E4"/>
    <w:rsid w:val="2CF5031E"/>
    <w:rsid w:val="2CF90692"/>
    <w:rsid w:val="2D093C9F"/>
    <w:rsid w:val="2D3B7916"/>
    <w:rsid w:val="2D3C3CD7"/>
    <w:rsid w:val="2D4B4DCC"/>
    <w:rsid w:val="2D9D4390"/>
    <w:rsid w:val="2DA35B4E"/>
    <w:rsid w:val="2DB600C3"/>
    <w:rsid w:val="2DE87A40"/>
    <w:rsid w:val="2E173F56"/>
    <w:rsid w:val="2E29079C"/>
    <w:rsid w:val="2E48670E"/>
    <w:rsid w:val="2E4D265D"/>
    <w:rsid w:val="2E541C4B"/>
    <w:rsid w:val="2E6C00D1"/>
    <w:rsid w:val="2E6C5330"/>
    <w:rsid w:val="2E987961"/>
    <w:rsid w:val="2E9D2F33"/>
    <w:rsid w:val="2EA5491E"/>
    <w:rsid w:val="2ED315FA"/>
    <w:rsid w:val="2EE32370"/>
    <w:rsid w:val="2EF2578E"/>
    <w:rsid w:val="2F086F58"/>
    <w:rsid w:val="2F2F0F1B"/>
    <w:rsid w:val="2F341996"/>
    <w:rsid w:val="2F4128D8"/>
    <w:rsid w:val="2FA97745"/>
    <w:rsid w:val="2FAC5FF8"/>
    <w:rsid w:val="2FE333E0"/>
    <w:rsid w:val="30367EDF"/>
    <w:rsid w:val="304A4945"/>
    <w:rsid w:val="3058440F"/>
    <w:rsid w:val="30C1634B"/>
    <w:rsid w:val="30D01C69"/>
    <w:rsid w:val="30EC4B0C"/>
    <w:rsid w:val="30ED594E"/>
    <w:rsid w:val="30F53179"/>
    <w:rsid w:val="3129011E"/>
    <w:rsid w:val="312C0CAE"/>
    <w:rsid w:val="313774EC"/>
    <w:rsid w:val="313F1068"/>
    <w:rsid w:val="315B0AD4"/>
    <w:rsid w:val="319D4523"/>
    <w:rsid w:val="31A506BA"/>
    <w:rsid w:val="31BC417F"/>
    <w:rsid w:val="32035324"/>
    <w:rsid w:val="320A36C1"/>
    <w:rsid w:val="322915EE"/>
    <w:rsid w:val="32354210"/>
    <w:rsid w:val="323D35EB"/>
    <w:rsid w:val="3259367F"/>
    <w:rsid w:val="32606F60"/>
    <w:rsid w:val="326E6892"/>
    <w:rsid w:val="327C2DDA"/>
    <w:rsid w:val="329F64B9"/>
    <w:rsid w:val="32DC04F7"/>
    <w:rsid w:val="32E91758"/>
    <w:rsid w:val="32EC5D4C"/>
    <w:rsid w:val="331115A1"/>
    <w:rsid w:val="33232C85"/>
    <w:rsid w:val="3374391F"/>
    <w:rsid w:val="33774D25"/>
    <w:rsid w:val="33916233"/>
    <w:rsid w:val="33965837"/>
    <w:rsid w:val="33AA50E6"/>
    <w:rsid w:val="33B43DDB"/>
    <w:rsid w:val="33BE1C24"/>
    <w:rsid w:val="33C662A1"/>
    <w:rsid w:val="341D3E0C"/>
    <w:rsid w:val="34227F5D"/>
    <w:rsid w:val="34443420"/>
    <w:rsid w:val="34561EE4"/>
    <w:rsid w:val="348C273F"/>
    <w:rsid w:val="34942631"/>
    <w:rsid w:val="34A47250"/>
    <w:rsid w:val="34C31F31"/>
    <w:rsid w:val="34CD2727"/>
    <w:rsid w:val="3522430E"/>
    <w:rsid w:val="352E0F08"/>
    <w:rsid w:val="354B6D1C"/>
    <w:rsid w:val="35855A64"/>
    <w:rsid w:val="35A21866"/>
    <w:rsid w:val="35D013BB"/>
    <w:rsid w:val="35DE6C72"/>
    <w:rsid w:val="35F43BC7"/>
    <w:rsid w:val="35F72C7E"/>
    <w:rsid w:val="35FF1ADE"/>
    <w:rsid w:val="360258DD"/>
    <w:rsid w:val="361A4245"/>
    <w:rsid w:val="3643680D"/>
    <w:rsid w:val="365E6D3E"/>
    <w:rsid w:val="366C1501"/>
    <w:rsid w:val="36A4320C"/>
    <w:rsid w:val="36D53214"/>
    <w:rsid w:val="36E771D1"/>
    <w:rsid w:val="372B16AC"/>
    <w:rsid w:val="375E0FC7"/>
    <w:rsid w:val="378D3916"/>
    <w:rsid w:val="37B72410"/>
    <w:rsid w:val="37BD2D61"/>
    <w:rsid w:val="37C57946"/>
    <w:rsid w:val="37E272A3"/>
    <w:rsid w:val="37F95AB0"/>
    <w:rsid w:val="383F72A7"/>
    <w:rsid w:val="3842059A"/>
    <w:rsid w:val="38493093"/>
    <w:rsid w:val="38AD2A2D"/>
    <w:rsid w:val="38CA33B3"/>
    <w:rsid w:val="38D830AC"/>
    <w:rsid w:val="38FC0D9E"/>
    <w:rsid w:val="38FD1938"/>
    <w:rsid w:val="39011B8F"/>
    <w:rsid w:val="391207FC"/>
    <w:rsid w:val="39315B32"/>
    <w:rsid w:val="39483619"/>
    <w:rsid w:val="397D21A9"/>
    <w:rsid w:val="398F207C"/>
    <w:rsid w:val="39994E65"/>
    <w:rsid w:val="39C35A32"/>
    <w:rsid w:val="39C90877"/>
    <w:rsid w:val="39F55118"/>
    <w:rsid w:val="3A0D6177"/>
    <w:rsid w:val="3A2071EB"/>
    <w:rsid w:val="3A2661EE"/>
    <w:rsid w:val="3A347336"/>
    <w:rsid w:val="3A6D38A3"/>
    <w:rsid w:val="3A7D46D4"/>
    <w:rsid w:val="3A9E48B4"/>
    <w:rsid w:val="3AD60DA5"/>
    <w:rsid w:val="3B0555C5"/>
    <w:rsid w:val="3B0C3BD9"/>
    <w:rsid w:val="3B233B40"/>
    <w:rsid w:val="3B3165C4"/>
    <w:rsid w:val="3B357158"/>
    <w:rsid w:val="3B4D511C"/>
    <w:rsid w:val="3B6B0E42"/>
    <w:rsid w:val="3B8B4B46"/>
    <w:rsid w:val="3BA751CD"/>
    <w:rsid w:val="3BE15BDA"/>
    <w:rsid w:val="3C3608CF"/>
    <w:rsid w:val="3C3D72C4"/>
    <w:rsid w:val="3C512A11"/>
    <w:rsid w:val="3C8730DE"/>
    <w:rsid w:val="3C8B2C9C"/>
    <w:rsid w:val="3C953B90"/>
    <w:rsid w:val="3C983BA7"/>
    <w:rsid w:val="3CA712CF"/>
    <w:rsid w:val="3CB357B6"/>
    <w:rsid w:val="3CC5214A"/>
    <w:rsid w:val="3CD33016"/>
    <w:rsid w:val="3D0172FC"/>
    <w:rsid w:val="3D18140B"/>
    <w:rsid w:val="3D641ED7"/>
    <w:rsid w:val="3D814989"/>
    <w:rsid w:val="3D8F09F2"/>
    <w:rsid w:val="3D992C28"/>
    <w:rsid w:val="3DAD6357"/>
    <w:rsid w:val="3DB957C4"/>
    <w:rsid w:val="3DC13DCB"/>
    <w:rsid w:val="3DE9747B"/>
    <w:rsid w:val="3DFD4028"/>
    <w:rsid w:val="3E1D1D2E"/>
    <w:rsid w:val="3E4D7072"/>
    <w:rsid w:val="3E526DA4"/>
    <w:rsid w:val="3EF00491"/>
    <w:rsid w:val="3F2A4F31"/>
    <w:rsid w:val="3F334234"/>
    <w:rsid w:val="3F557DDE"/>
    <w:rsid w:val="3F563236"/>
    <w:rsid w:val="3F731EBD"/>
    <w:rsid w:val="3F77080A"/>
    <w:rsid w:val="3F966CEA"/>
    <w:rsid w:val="3FB527F5"/>
    <w:rsid w:val="3FCA54FF"/>
    <w:rsid w:val="3FDB75E6"/>
    <w:rsid w:val="40053AEF"/>
    <w:rsid w:val="405A5EA8"/>
    <w:rsid w:val="406B2D42"/>
    <w:rsid w:val="406F7959"/>
    <w:rsid w:val="4084317D"/>
    <w:rsid w:val="408B007B"/>
    <w:rsid w:val="40B1111B"/>
    <w:rsid w:val="40C8546D"/>
    <w:rsid w:val="40E83FEB"/>
    <w:rsid w:val="40F41D15"/>
    <w:rsid w:val="41245CF6"/>
    <w:rsid w:val="41451745"/>
    <w:rsid w:val="419068A2"/>
    <w:rsid w:val="4192041B"/>
    <w:rsid w:val="41A50E7A"/>
    <w:rsid w:val="41BD02EC"/>
    <w:rsid w:val="41D3372D"/>
    <w:rsid w:val="42185649"/>
    <w:rsid w:val="42313309"/>
    <w:rsid w:val="424E280C"/>
    <w:rsid w:val="428201C1"/>
    <w:rsid w:val="42910D65"/>
    <w:rsid w:val="429E3367"/>
    <w:rsid w:val="42B56E85"/>
    <w:rsid w:val="430A0D06"/>
    <w:rsid w:val="430F30C8"/>
    <w:rsid w:val="43212CE5"/>
    <w:rsid w:val="4344674E"/>
    <w:rsid w:val="43561111"/>
    <w:rsid w:val="437E7A05"/>
    <w:rsid w:val="439D11D5"/>
    <w:rsid w:val="43A632D7"/>
    <w:rsid w:val="43B70849"/>
    <w:rsid w:val="43D21251"/>
    <w:rsid w:val="43D747F9"/>
    <w:rsid w:val="43DD78DA"/>
    <w:rsid w:val="43E92882"/>
    <w:rsid w:val="43F15ABD"/>
    <w:rsid w:val="43FC7EC1"/>
    <w:rsid w:val="44143425"/>
    <w:rsid w:val="443505A1"/>
    <w:rsid w:val="4462219F"/>
    <w:rsid w:val="44691C85"/>
    <w:rsid w:val="44C21817"/>
    <w:rsid w:val="44E053F7"/>
    <w:rsid w:val="46114315"/>
    <w:rsid w:val="46261E01"/>
    <w:rsid w:val="463150DD"/>
    <w:rsid w:val="464F4194"/>
    <w:rsid w:val="465159DA"/>
    <w:rsid w:val="468E7879"/>
    <w:rsid w:val="46A27788"/>
    <w:rsid w:val="46AD6449"/>
    <w:rsid w:val="46B02F04"/>
    <w:rsid w:val="46CD27B0"/>
    <w:rsid w:val="46E52D55"/>
    <w:rsid w:val="470A789B"/>
    <w:rsid w:val="471B0948"/>
    <w:rsid w:val="47BF2FE6"/>
    <w:rsid w:val="47CA6EF0"/>
    <w:rsid w:val="482745C7"/>
    <w:rsid w:val="482800B2"/>
    <w:rsid w:val="48363D2A"/>
    <w:rsid w:val="48534A48"/>
    <w:rsid w:val="487D7356"/>
    <w:rsid w:val="48B92C32"/>
    <w:rsid w:val="48E224DB"/>
    <w:rsid w:val="490C7F57"/>
    <w:rsid w:val="49294062"/>
    <w:rsid w:val="496B1EBB"/>
    <w:rsid w:val="498440C7"/>
    <w:rsid w:val="498610CB"/>
    <w:rsid w:val="49AD07BA"/>
    <w:rsid w:val="49EF14EB"/>
    <w:rsid w:val="4A0E4FAF"/>
    <w:rsid w:val="4A2328EA"/>
    <w:rsid w:val="4A342FD2"/>
    <w:rsid w:val="4A57632A"/>
    <w:rsid w:val="4A72514B"/>
    <w:rsid w:val="4AA5779F"/>
    <w:rsid w:val="4ADB3001"/>
    <w:rsid w:val="4AED04AF"/>
    <w:rsid w:val="4B0A3E53"/>
    <w:rsid w:val="4B0A7ACA"/>
    <w:rsid w:val="4B1701F7"/>
    <w:rsid w:val="4B341871"/>
    <w:rsid w:val="4B471707"/>
    <w:rsid w:val="4B573495"/>
    <w:rsid w:val="4B5A3F42"/>
    <w:rsid w:val="4B6A3744"/>
    <w:rsid w:val="4B801B9C"/>
    <w:rsid w:val="4BCB580F"/>
    <w:rsid w:val="4BD923A6"/>
    <w:rsid w:val="4BDF40A9"/>
    <w:rsid w:val="4BE61521"/>
    <w:rsid w:val="4C02716A"/>
    <w:rsid w:val="4C1D24E0"/>
    <w:rsid w:val="4C2653D5"/>
    <w:rsid w:val="4C946A17"/>
    <w:rsid w:val="4D064DC8"/>
    <w:rsid w:val="4D115790"/>
    <w:rsid w:val="4D347ED8"/>
    <w:rsid w:val="4D4C1002"/>
    <w:rsid w:val="4D6F1420"/>
    <w:rsid w:val="4D716000"/>
    <w:rsid w:val="4D774226"/>
    <w:rsid w:val="4DC24EE2"/>
    <w:rsid w:val="4DE93845"/>
    <w:rsid w:val="4DF7667D"/>
    <w:rsid w:val="4E7B36E9"/>
    <w:rsid w:val="4EBA76BD"/>
    <w:rsid w:val="4ED4056B"/>
    <w:rsid w:val="4EE771E5"/>
    <w:rsid w:val="4F1D371F"/>
    <w:rsid w:val="4F3B31A2"/>
    <w:rsid w:val="4F4B57AF"/>
    <w:rsid w:val="4F572D9B"/>
    <w:rsid w:val="4F703A80"/>
    <w:rsid w:val="4F8D46D4"/>
    <w:rsid w:val="4F8F6452"/>
    <w:rsid w:val="4F932120"/>
    <w:rsid w:val="4FA123BA"/>
    <w:rsid w:val="4FB14A1E"/>
    <w:rsid w:val="4FC37AD4"/>
    <w:rsid w:val="4FC61082"/>
    <w:rsid w:val="4FDF11E7"/>
    <w:rsid w:val="501628A8"/>
    <w:rsid w:val="50503F9B"/>
    <w:rsid w:val="50564DDA"/>
    <w:rsid w:val="50570199"/>
    <w:rsid w:val="50666688"/>
    <w:rsid w:val="50703031"/>
    <w:rsid w:val="50D85FFE"/>
    <w:rsid w:val="50DA2806"/>
    <w:rsid w:val="50E21BB2"/>
    <w:rsid w:val="50F811D6"/>
    <w:rsid w:val="50FC4636"/>
    <w:rsid w:val="510B29D2"/>
    <w:rsid w:val="511565C2"/>
    <w:rsid w:val="511E158C"/>
    <w:rsid w:val="51307613"/>
    <w:rsid w:val="5150527D"/>
    <w:rsid w:val="51513E56"/>
    <w:rsid w:val="515A1CDE"/>
    <w:rsid w:val="515F5700"/>
    <w:rsid w:val="51650323"/>
    <w:rsid w:val="51ED7CD0"/>
    <w:rsid w:val="522248E0"/>
    <w:rsid w:val="522C75C4"/>
    <w:rsid w:val="523315CA"/>
    <w:rsid w:val="52582D49"/>
    <w:rsid w:val="526651A4"/>
    <w:rsid w:val="526A12AF"/>
    <w:rsid w:val="526C1D2D"/>
    <w:rsid w:val="52FB303E"/>
    <w:rsid w:val="53113AA3"/>
    <w:rsid w:val="5321588C"/>
    <w:rsid w:val="533E38EB"/>
    <w:rsid w:val="537A528C"/>
    <w:rsid w:val="5424586C"/>
    <w:rsid w:val="54377E46"/>
    <w:rsid w:val="545137FC"/>
    <w:rsid w:val="547E77C6"/>
    <w:rsid w:val="54AC7E8C"/>
    <w:rsid w:val="54B031F4"/>
    <w:rsid w:val="550831C7"/>
    <w:rsid w:val="554124AE"/>
    <w:rsid w:val="55553409"/>
    <w:rsid w:val="556D77D1"/>
    <w:rsid w:val="55855731"/>
    <w:rsid w:val="55906DDC"/>
    <w:rsid w:val="55AD7ADA"/>
    <w:rsid w:val="55C915A1"/>
    <w:rsid w:val="55DA3793"/>
    <w:rsid w:val="561B16B1"/>
    <w:rsid w:val="56441C00"/>
    <w:rsid w:val="565C5CE0"/>
    <w:rsid w:val="56636EF2"/>
    <w:rsid w:val="56882DA7"/>
    <w:rsid w:val="56955A23"/>
    <w:rsid w:val="56F41F92"/>
    <w:rsid w:val="576630FD"/>
    <w:rsid w:val="576F67D4"/>
    <w:rsid w:val="57960862"/>
    <w:rsid w:val="57BC4C9C"/>
    <w:rsid w:val="57CA25F9"/>
    <w:rsid w:val="57D2683A"/>
    <w:rsid w:val="57D41B1A"/>
    <w:rsid w:val="57DF0946"/>
    <w:rsid w:val="583341E1"/>
    <w:rsid w:val="583B50EA"/>
    <w:rsid w:val="583E160B"/>
    <w:rsid w:val="585919A2"/>
    <w:rsid w:val="586F387E"/>
    <w:rsid w:val="589A414C"/>
    <w:rsid w:val="58C401AC"/>
    <w:rsid w:val="58E71E26"/>
    <w:rsid w:val="591C7ADE"/>
    <w:rsid w:val="596C4A2A"/>
    <w:rsid w:val="5993415C"/>
    <w:rsid w:val="599440BC"/>
    <w:rsid w:val="59CB7C78"/>
    <w:rsid w:val="59D20B82"/>
    <w:rsid w:val="59FB46CF"/>
    <w:rsid w:val="59FF6944"/>
    <w:rsid w:val="5A205535"/>
    <w:rsid w:val="5A2148A6"/>
    <w:rsid w:val="5A315FC3"/>
    <w:rsid w:val="5A6927FC"/>
    <w:rsid w:val="5A9F4265"/>
    <w:rsid w:val="5AAF5C62"/>
    <w:rsid w:val="5AC04993"/>
    <w:rsid w:val="5AC703B1"/>
    <w:rsid w:val="5AC76F50"/>
    <w:rsid w:val="5ADB6FB9"/>
    <w:rsid w:val="5B5C0FBC"/>
    <w:rsid w:val="5BAF2CF5"/>
    <w:rsid w:val="5BB721DA"/>
    <w:rsid w:val="5BC773EA"/>
    <w:rsid w:val="5BE744EF"/>
    <w:rsid w:val="5C173C1A"/>
    <w:rsid w:val="5C3707AA"/>
    <w:rsid w:val="5C373BF8"/>
    <w:rsid w:val="5C593289"/>
    <w:rsid w:val="5CA2296A"/>
    <w:rsid w:val="5CCC426D"/>
    <w:rsid w:val="5CE50C89"/>
    <w:rsid w:val="5CE63B5B"/>
    <w:rsid w:val="5CF365AE"/>
    <w:rsid w:val="5D0513F5"/>
    <w:rsid w:val="5D095E29"/>
    <w:rsid w:val="5D170CD5"/>
    <w:rsid w:val="5D1A5393"/>
    <w:rsid w:val="5DE2255B"/>
    <w:rsid w:val="5DF9398D"/>
    <w:rsid w:val="5E095FD6"/>
    <w:rsid w:val="5E0E3F5C"/>
    <w:rsid w:val="5E181629"/>
    <w:rsid w:val="5E340DA7"/>
    <w:rsid w:val="5E395BAE"/>
    <w:rsid w:val="5E5D258D"/>
    <w:rsid w:val="5E7334C3"/>
    <w:rsid w:val="5E7526E8"/>
    <w:rsid w:val="5E773773"/>
    <w:rsid w:val="5EA5212B"/>
    <w:rsid w:val="5EB524E6"/>
    <w:rsid w:val="5ED07993"/>
    <w:rsid w:val="5EE26DB3"/>
    <w:rsid w:val="5F075A91"/>
    <w:rsid w:val="5F1F5FAD"/>
    <w:rsid w:val="5F25133A"/>
    <w:rsid w:val="5F3F19E2"/>
    <w:rsid w:val="5F456BB3"/>
    <w:rsid w:val="5F626494"/>
    <w:rsid w:val="5F681BAB"/>
    <w:rsid w:val="5F726C0E"/>
    <w:rsid w:val="5F7A458B"/>
    <w:rsid w:val="5FCE51B0"/>
    <w:rsid w:val="60401604"/>
    <w:rsid w:val="60626619"/>
    <w:rsid w:val="607175A0"/>
    <w:rsid w:val="60763A31"/>
    <w:rsid w:val="60E174E9"/>
    <w:rsid w:val="60E75D3C"/>
    <w:rsid w:val="61415E1E"/>
    <w:rsid w:val="616D3845"/>
    <w:rsid w:val="619706BD"/>
    <w:rsid w:val="6197282A"/>
    <w:rsid w:val="61CA7F79"/>
    <w:rsid w:val="61CC4D74"/>
    <w:rsid w:val="61D318D5"/>
    <w:rsid w:val="61FF6957"/>
    <w:rsid w:val="62095C8A"/>
    <w:rsid w:val="624914EE"/>
    <w:rsid w:val="626F1EC9"/>
    <w:rsid w:val="6274710F"/>
    <w:rsid w:val="62A26D46"/>
    <w:rsid w:val="62B266B5"/>
    <w:rsid w:val="62CF7D7F"/>
    <w:rsid w:val="62D40767"/>
    <w:rsid w:val="62F52B28"/>
    <w:rsid w:val="62FF120B"/>
    <w:rsid w:val="633356A8"/>
    <w:rsid w:val="63A50F6F"/>
    <w:rsid w:val="6403179D"/>
    <w:rsid w:val="64221B5F"/>
    <w:rsid w:val="643108F6"/>
    <w:rsid w:val="647C41CD"/>
    <w:rsid w:val="64C76A7A"/>
    <w:rsid w:val="64CA19AF"/>
    <w:rsid w:val="64F05EEF"/>
    <w:rsid w:val="64F83A87"/>
    <w:rsid w:val="6591582E"/>
    <w:rsid w:val="65F962B4"/>
    <w:rsid w:val="662F3307"/>
    <w:rsid w:val="665D09A0"/>
    <w:rsid w:val="665D146A"/>
    <w:rsid w:val="66775D0F"/>
    <w:rsid w:val="66AA76F2"/>
    <w:rsid w:val="66B7682F"/>
    <w:rsid w:val="66D3237B"/>
    <w:rsid w:val="66F35AAC"/>
    <w:rsid w:val="67166EC5"/>
    <w:rsid w:val="67210094"/>
    <w:rsid w:val="67336828"/>
    <w:rsid w:val="673F1301"/>
    <w:rsid w:val="674F376A"/>
    <w:rsid w:val="675E1C55"/>
    <w:rsid w:val="676A31F2"/>
    <w:rsid w:val="679E2FAB"/>
    <w:rsid w:val="67BF067C"/>
    <w:rsid w:val="67EC2A68"/>
    <w:rsid w:val="67FE4DA3"/>
    <w:rsid w:val="68357404"/>
    <w:rsid w:val="684556ED"/>
    <w:rsid w:val="684E7EDF"/>
    <w:rsid w:val="686167C2"/>
    <w:rsid w:val="68C107A0"/>
    <w:rsid w:val="68D363CB"/>
    <w:rsid w:val="68DC597F"/>
    <w:rsid w:val="68E2188C"/>
    <w:rsid w:val="68E432F2"/>
    <w:rsid w:val="690A6585"/>
    <w:rsid w:val="692320B4"/>
    <w:rsid w:val="694B3A7C"/>
    <w:rsid w:val="6951732D"/>
    <w:rsid w:val="69545358"/>
    <w:rsid w:val="698A76FD"/>
    <w:rsid w:val="699254B7"/>
    <w:rsid w:val="69D31D91"/>
    <w:rsid w:val="69D54202"/>
    <w:rsid w:val="6AD5034D"/>
    <w:rsid w:val="6B294C84"/>
    <w:rsid w:val="6B474827"/>
    <w:rsid w:val="6B7211DE"/>
    <w:rsid w:val="6BAC63E0"/>
    <w:rsid w:val="6BBF64CC"/>
    <w:rsid w:val="6BC62659"/>
    <w:rsid w:val="6C032DBD"/>
    <w:rsid w:val="6C0D592D"/>
    <w:rsid w:val="6C472ECD"/>
    <w:rsid w:val="6C95118E"/>
    <w:rsid w:val="6CA2751B"/>
    <w:rsid w:val="6CCC097C"/>
    <w:rsid w:val="6CD723CB"/>
    <w:rsid w:val="6CDA595A"/>
    <w:rsid w:val="6CE015D6"/>
    <w:rsid w:val="6CF40EAB"/>
    <w:rsid w:val="6D10096B"/>
    <w:rsid w:val="6D1839B1"/>
    <w:rsid w:val="6DDD0342"/>
    <w:rsid w:val="6DE727F2"/>
    <w:rsid w:val="6DF05980"/>
    <w:rsid w:val="6E33758F"/>
    <w:rsid w:val="6E534B2D"/>
    <w:rsid w:val="6E550C34"/>
    <w:rsid w:val="6E655319"/>
    <w:rsid w:val="6E745DAF"/>
    <w:rsid w:val="6EA461A6"/>
    <w:rsid w:val="6EA93624"/>
    <w:rsid w:val="6ECE201A"/>
    <w:rsid w:val="6ED503B8"/>
    <w:rsid w:val="6EE558A8"/>
    <w:rsid w:val="6F0C0585"/>
    <w:rsid w:val="6F1079AE"/>
    <w:rsid w:val="6F182133"/>
    <w:rsid w:val="6F452D87"/>
    <w:rsid w:val="6F7B76F7"/>
    <w:rsid w:val="6FD02075"/>
    <w:rsid w:val="7012048F"/>
    <w:rsid w:val="701D287D"/>
    <w:rsid w:val="70322864"/>
    <w:rsid w:val="703B3BFC"/>
    <w:rsid w:val="70456902"/>
    <w:rsid w:val="707F5B9B"/>
    <w:rsid w:val="70826E54"/>
    <w:rsid w:val="70942EA5"/>
    <w:rsid w:val="709930FD"/>
    <w:rsid w:val="70997CB9"/>
    <w:rsid w:val="70E9766E"/>
    <w:rsid w:val="713F3381"/>
    <w:rsid w:val="715E244A"/>
    <w:rsid w:val="71A11124"/>
    <w:rsid w:val="71A81171"/>
    <w:rsid w:val="71A9268A"/>
    <w:rsid w:val="71E80A8C"/>
    <w:rsid w:val="722C3761"/>
    <w:rsid w:val="72313C64"/>
    <w:rsid w:val="729D42B4"/>
    <w:rsid w:val="72CC087A"/>
    <w:rsid w:val="72CF4CB8"/>
    <w:rsid w:val="72D366C1"/>
    <w:rsid w:val="72D808DC"/>
    <w:rsid w:val="732B2215"/>
    <w:rsid w:val="73387926"/>
    <w:rsid w:val="73797A10"/>
    <w:rsid w:val="739F00D5"/>
    <w:rsid w:val="73A355B8"/>
    <w:rsid w:val="73B754E2"/>
    <w:rsid w:val="73BD0467"/>
    <w:rsid w:val="73C820FD"/>
    <w:rsid w:val="7413358A"/>
    <w:rsid w:val="74226892"/>
    <w:rsid w:val="746C025E"/>
    <w:rsid w:val="748337FF"/>
    <w:rsid w:val="74963132"/>
    <w:rsid w:val="74A07A11"/>
    <w:rsid w:val="74C532C7"/>
    <w:rsid w:val="74E124F8"/>
    <w:rsid w:val="750220D2"/>
    <w:rsid w:val="75102A61"/>
    <w:rsid w:val="75193E3F"/>
    <w:rsid w:val="75245482"/>
    <w:rsid w:val="755066F9"/>
    <w:rsid w:val="7561533D"/>
    <w:rsid w:val="75666FB1"/>
    <w:rsid w:val="757C4F73"/>
    <w:rsid w:val="75971F2A"/>
    <w:rsid w:val="75B26173"/>
    <w:rsid w:val="75FB40F8"/>
    <w:rsid w:val="75FD29EA"/>
    <w:rsid w:val="761927E9"/>
    <w:rsid w:val="76375C3E"/>
    <w:rsid w:val="76600BA9"/>
    <w:rsid w:val="76617C75"/>
    <w:rsid w:val="767E34F8"/>
    <w:rsid w:val="76FB446C"/>
    <w:rsid w:val="76FD7848"/>
    <w:rsid w:val="770463F7"/>
    <w:rsid w:val="77200316"/>
    <w:rsid w:val="772E1233"/>
    <w:rsid w:val="772F7BB0"/>
    <w:rsid w:val="776B10F2"/>
    <w:rsid w:val="77787755"/>
    <w:rsid w:val="77816447"/>
    <w:rsid w:val="779A7BC5"/>
    <w:rsid w:val="779F0FD7"/>
    <w:rsid w:val="77D902D4"/>
    <w:rsid w:val="77F705F6"/>
    <w:rsid w:val="784A29E9"/>
    <w:rsid w:val="78A969EB"/>
    <w:rsid w:val="78C54FC9"/>
    <w:rsid w:val="78D14500"/>
    <w:rsid w:val="78E17D27"/>
    <w:rsid w:val="78E439FC"/>
    <w:rsid w:val="78FB4529"/>
    <w:rsid w:val="790C3730"/>
    <w:rsid w:val="79100A4F"/>
    <w:rsid w:val="791453EC"/>
    <w:rsid w:val="791C2FC9"/>
    <w:rsid w:val="792C3CB3"/>
    <w:rsid w:val="794021C2"/>
    <w:rsid w:val="79B5163A"/>
    <w:rsid w:val="79B666BE"/>
    <w:rsid w:val="79EB06B3"/>
    <w:rsid w:val="7A072E1B"/>
    <w:rsid w:val="7A0F12E6"/>
    <w:rsid w:val="7A443267"/>
    <w:rsid w:val="7A4E4D7D"/>
    <w:rsid w:val="7A824C3A"/>
    <w:rsid w:val="7A995079"/>
    <w:rsid w:val="7AD756EB"/>
    <w:rsid w:val="7B022868"/>
    <w:rsid w:val="7B14763E"/>
    <w:rsid w:val="7B3103E1"/>
    <w:rsid w:val="7B3A1DE4"/>
    <w:rsid w:val="7B7E01AB"/>
    <w:rsid w:val="7BA638DF"/>
    <w:rsid w:val="7BC7231A"/>
    <w:rsid w:val="7BDF2B41"/>
    <w:rsid w:val="7BE26258"/>
    <w:rsid w:val="7BEA7F06"/>
    <w:rsid w:val="7C1576DC"/>
    <w:rsid w:val="7C252C6A"/>
    <w:rsid w:val="7C461BA7"/>
    <w:rsid w:val="7C6E012A"/>
    <w:rsid w:val="7C6F7A0C"/>
    <w:rsid w:val="7C730D95"/>
    <w:rsid w:val="7C811ABB"/>
    <w:rsid w:val="7C8A703A"/>
    <w:rsid w:val="7CAE04F0"/>
    <w:rsid w:val="7D064E42"/>
    <w:rsid w:val="7D1E68A3"/>
    <w:rsid w:val="7D6E5376"/>
    <w:rsid w:val="7D885D6B"/>
    <w:rsid w:val="7D9E0355"/>
    <w:rsid w:val="7DAE272E"/>
    <w:rsid w:val="7DC51FB6"/>
    <w:rsid w:val="7DE03C2C"/>
    <w:rsid w:val="7E1165AD"/>
    <w:rsid w:val="7E1A649F"/>
    <w:rsid w:val="7E3C48CF"/>
    <w:rsid w:val="7E43770C"/>
    <w:rsid w:val="7E6B77EA"/>
    <w:rsid w:val="7E9E2FBC"/>
    <w:rsid w:val="7EA70E88"/>
    <w:rsid w:val="7EBB0C1E"/>
    <w:rsid w:val="7EC218D0"/>
    <w:rsid w:val="7F0021E6"/>
    <w:rsid w:val="7F3044F1"/>
    <w:rsid w:val="7F337095"/>
    <w:rsid w:val="7F397243"/>
    <w:rsid w:val="7F423106"/>
    <w:rsid w:val="7F644D70"/>
    <w:rsid w:val="7F72403E"/>
    <w:rsid w:val="7F734F41"/>
    <w:rsid w:val="7FC06EDC"/>
    <w:rsid w:val="7FDC07EE"/>
    <w:rsid w:val="7FF0429F"/>
    <w:rsid w:val="7FF209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qFormat="1" w:uiPriority="99" w:semiHidden="0" w:name="footnote text"/>
    <w:lsdException w:qFormat="1" w:uiPriority="0" w:semiHidden="0" w:name="annotation text"/>
    <w:lsdException w:qFormat="1" w:unhideWhenUsed="0" w:uiPriority="0"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iPriority="99" w:semiHidden="0"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iPriority="99"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jc w:val="both"/>
      <w:textAlignment w:val="baseline"/>
    </w:pPr>
    <w:rPr>
      <w:rFonts w:ascii="Times New Roman" w:hAnsi="Times New Roman" w:eastAsia="Times New Roman" w:cs="Times New Roman"/>
      <w:lang w:val="en-GB" w:eastAsia="en-US" w:bidi="ar-SA"/>
    </w:rPr>
  </w:style>
  <w:style w:type="paragraph" w:styleId="2">
    <w:name w:val="heading 1"/>
    <w:basedOn w:val="1"/>
    <w:next w:val="1"/>
    <w:link w:val="42"/>
    <w:qFormat/>
    <w:uiPriority w:val="0"/>
    <w:pPr>
      <w:keepNext/>
      <w:keepLines/>
      <w:numPr>
        <w:ilvl w:val="0"/>
        <w:numId w:val="1"/>
      </w:numPr>
      <w:pBdr>
        <w:top w:val="single" w:color="auto" w:sz="12" w:space="3"/>
      </w:pBdr>
      <w:tabs>
        <w:tab w:val="left" w:pos="432"/>
      </w:tabs>
      <w:spacing w:beforeLines="50" w:after="120"/>
      <w:outlineLvl w:val="0"/>
    </w:pPr>
    <w:rPr>
      <w:rFonts w:ascii="Arial" w:hAnsi="Arial" w:eastAsia="宋体"/>
      <w:sz w:val="28"/>
      <w:szCs w:val="22"/>
      <w:lang w:eastAsia="zh-CN"/>
    </w:rPr>
  </w:style>
  <w:style w:type="paragraph" w:styleId="3">
    <w:name w:val="heading 2"/>
    <w:basedOn w:val="1"/>
    <w:next w:val="1"/>
    <w:link w:val="104"/>
    <w:qFormat/>
    <w:uiPriority w:val="0"/>
    <w:pPr>
      <w:tabs>
        <w:tab w:val="left" w:pos="576"/>
      </w:tabs>
      <w:spacing w:before="240" w:after="60"/>
      <w:ind w:left="576" w:hanging="576"/>
      <w:outlineLvl w:val="1"/>
    </w:pPr>
    <w:rPr>
      <w:rFonts w:cs="Arial"/>
      <w:bCs/>
      <w:iCs/>
      <w:szCs w:val="28"/>
      <w:lang w:val="en-US"/>
    </w:rPr>
  </w:style>
  <w:style w:type="paragraph" w:styleId="4">
    <w:name w:val="heading 3"/>
    <w:basedOn w:val="1"/>
    <w:next w:val="1"/>
    <w:qFormat/>
    <w:uiPriority w:val="0"/>
    <w:pPr>
      <w:keepNext/>
      <w:tabs>
        <w:tab w:val="left" w:pos="720"/>
      </w:tabs>
      <w:spacing w:before="240" w:after="60"/>
      <w:ind w:left="720" w:hanging="720"/>
      <w:outlineLvl w:val="2"/>
    </w:pPr>
    <w:rPr>
      <w:rFonts w:cs="Arial"/>
      <w:b/>
      <w:bCs/>
      <w:sz w:val="24"/>
      <w:szCs w:val="26"/>
    </w:rPr>
  </w:style>
  <w:style w:type="paragraph" w:styleId="5">
    <w:name w:val="heading 4"/>
    <w:basedOn w:val="1"/>
    <w:next w:val="1"/>
    <w:link w:val="43"/>
    <w:qFormat/>
    <w:uiPriority w:val="0"/>
    <w:pPr>
      <w:keepNext/>
      <w:tabs>
        <w:tab w:val="left" w:pos="864"/>
      </w:tabs>
      <w:spacing w:before="240" w:after="60"/>
      <w:ind w:left="864" w:hanging="864"/>
      <w:outlineLvl w:val="3"/>
    </w:pPr>
    <w:rPr>
      <w:b/>
      <w:bCs/>
      <w:sz w:val="28"/>
      <w:szCs w:val="28"/>
    </w:rPr>
  </w:style>
  <w:style w:type="paragraph" w:styleId="6">
    <w:name w:val="heading 5"/>
    <w:basedOn w:val="1"/>
    <w:next w:val="1"/>
    <w:qFormat/>
    <w:uiPriority w:val="0"/>
    <w:pPr>
      <w:tabs>
        <w:tab w:val="left" w:pos="1008"/>
      </w:tabs>
      <w:spacing w:before="240" w:after="60"/>
      <w:ind w:left="1008" w:hanging="1008"/>
      <w:outlineLvl w:val="4"/>
    </w:pPr>
    <w:rPr>
      <w:b/>
      <w:bCs/>
      <w:i/>
      <w:iCs/>
      <w:sz w:val="26"/>
      <w:szCs w:val="26"/>
    </w:rPr>
  </w:style>
  <w:style w:type="paragraph" w:styleId="7">
    <w:name w:val="heading 6"/>
    <w:basedOn w:val="1"/>
    <w:next w:val="1"/>
    <w:qFormat/>
    <w:uiPriority w:val="0"/>
    <w:pPr>
      <w:tabs>
        <w:tab w:val="left" w:pos="1152"/>
      </w:tabs>
      <w:spacing w:before="240" w:after="60"/>
      <w:ind w:left="1152" w:hanging="1152"/>
      <w:outlineLvl w:val="5"/>
    </w:pPr>
    <w:rPr>
      <w:b/>
      <w:bCs/>
      <w:sz w:val="22"/>
      <w:szCs w:val="22"/>
    </w:rPr>
  </w:style>
  <w:style w:type="paragraph" w:styleId="8">
    <w:name w:val="heading 7"/>
    <w:basedOn w:val="1"/>
    <w:next w:val="1"/>
    <w:qFormat/>
    <w:uiPriority w:val="0"/>
    <w:pPr>
      <w:tabs>
        <w:tab w:val="left" w:pos="1296"/>
      </w:tabs>
      <w:spacing w:before="240" w:after="60"/>
      <w:ind w:left="1296" w:hanging="1296"/>
      <w:outlineLvl w:val="6"/>
    </w:pPr>
    <w:rPr>
      <w:sz w:val="24"/>
      <w:szCs w:val="24"/>
    </w:rPr>
  </w:style>
  <w:style w:type="paragraph" w:styleId="9">
    <w:name w:val="heading 8"/>
    <w:basedOn w:val="1"/>
    <w:next w:val="10"/>
    <w:link w:val="47"/>
    <w:qFormat/>
    <w:uiPriority w:val="0"/>
    <w:pPr>
      <w:keepNext/>
      <w:keepLines/>
      <w:widowControl w:val="0"/>
      <w:tabs>
        <w:tab w:val="left" w:pos="1440"/>
      </w:tabs>
      <w:overflowPunct/>
      <w:autoSpaceDE/>
      <w:autoSpaceDN/>
      <w:adjustRightInd/>
      <w:spacing w:before="120" w:after="120"/>
      <w:ind w:left="1440" w:hanging="1440"/>
      <w:textAlignment w:val="auto"/>
      <w:outlineLvl w:val="7"/>
    </w:pPr>
    <w:rPr>
      <w:rFonts w:ascii="Arial" w:hAnsi="Arial" w:eastAsia="宋体"/>
      <w:kern w:val="2"/>
      <w:sz w:val="21"/>
      <w:szCs w:val="24"/>
      <w:lang w:val="en-US" w:eastAsia="zh-CN"/>
    </w:rPr>
  </w:style>
  <w:style w:type="paragraph" w:styleId="11">
    <w:name w:val="heading 9"/>
    <w:basedOn w:val="1"/>
    <w:next w:val="10"/>
    <w:link w:val="53"/>
    <w:qFormat/>
    <w:uiPriority w:val="0"/>
    <w:pPr>
      <w:keepNext/>
      <w:keepLines/>
      <w:widowControl w:val="0"/>
      <w:tabs>
        <w:tab w:val="left" w:pos="1584"/>
      </w:tabs>
      <w:overflowPunct/>
      <w:autoSpaceDE/>
      <w:autoSpaceDN/>
      <w:adjustRightInd/>
      <w:spacing w:before="120" w:after="120"/>
      <w:ind w:left="1584" w:hanging="1584"/>
      <w:textAlignment w:val="auto"/>
      <w:outlineLvl w:val="8"/>
    </w:pPr>
    <w:rPr>
      <w:rFonts w:ascii="Arial" w:hAnsi="Arial" w:eastAsia="宋体"/>
      <w:kern w:val="2"/>
      <w:sz w:val="21"/>
      <w:szCs w:val="24"/>
      <w:lang w:val="en-US" w:eastAsia="zh-CN"/>
    </w:rPr>
  </w:style>
  <w:style w:type="character" w:default="1" w:styleId="28">
    <w:name w:val="Default Paragraph Font"/>
    <w:semiHidden/>
    <w:unhideWhenUsed/>
    <w:qFormat/>
    <w:uiPriority w:val="1"/>
  </w:style>
  <w:style w:type="table" w:default="1" w:styleId="35">
    <w:name w:val="Normal Table"/>
    <w:semiHidden/>
    <w:unhideWhenUsed/>
    <w:qFormat/>
    <w:uiPriority w:val="99"/>
    <w:tblPr>
      <w:tblLayout w:type="fixed"/>
      <w:tblCellMar>
        <w:top w:w="0" w:type="dxa"/>
        <w:left w:w="108" w:type="dxa"/>
        <w:bottom w:w="0" w:type="dxa"/>
        <w:right w:w="108" w:type="dxa"/>
      </w:tblCellMar>
    </w:tblPr>
  </w:style>
  <w:style w:type="paragraph" w:styleId="10">
    <w:name w:val="Normal Indent"/>
    <w:basedOn w:val="1"/>
    <w:unhideWhenUsed/>
    <w:qFormat/>
    <w:uiPriority w:val="99"/>
    <w:pPr>
      <w:ind w:firstLine="420" w:firstLineChars="200"/>
    </w:pPr>
  </w:style>
  <w:style w:type="paragraph" w:styleId="12">
    <w:name w:val="annotation subject"/>
    <w:basedOn w:val="13"/>
    <w:next w:val="13"/>
    <w:link w:val="57"/>
    <w:unhideWhenUsed/>
    <w:qFormat/>
    <w:uiPriority w:val="99"/>
    <w:rPr>
      <w:b/>
      <w:bCs/>
    </w:rPr>
  </w:style>
  <w:style w:type="paragraph" w:styleId="13">
    <w:name w:val="annotation text"/>
    <w:basedOn w:val="1"/>
    <w:link w:val="44"/>
    <w:unhideWhenUsed/>
    <w:qFormat/>
    <w:uiPriority w:val="0"/>
  </w:style>
  <w:style w:type="paragraph" w:styleId="14">
    <w:name w:val="List Number"/>
    <w:basedOn w:val="1"/>
    <w:qFormat/>
    <w:uiPriority w:val="0"/>
    <w:pPr>
      <w:widowControl w:val="0"/>
      <w:overflowPunct/>
      <w:autoSpaceDE/>
      <w:autoSpaceDN/>
      <w:adjustRightInd/>
      <w:snapToGrid w:val="0"/>
      <w:spacing w:beforeLines="100" w:after="0" w:line="460" w:lineRule="exact"/>
      <w:ind w:firstLine="567"/>
    </w:pPr>
    <w:rPr>
      <w:rFonts w:eastAsia="楷体_GB2312"/>
      <w:snapToGrid w:val="0"/>
      <w:sz w:val="28"/>
      <w:szCs w:val="28"/>
      <w:lang w:val="en-US" w:eastAsia="zh-CN"/>
    </w:rPr>
  </w:style>
  <w:style w:type="paragraph" w:styleId="15">
    <w:name w:val="caption"/>
    <w:basedOn w:val="1"/>
    <w:next w:val="1"/>
    <w:link w:val="38"/>
    <w:qFormat/>
    <w:uiPriority w:val="0"/>
    <w:rPr>
      <w:b/>
      <w:bCs/>
    </w:rPr>
  </w:style>
  <w:style w:type="paragraph" w:styleId="16">
    <w:name w:val="List Bullet"/>
    <w:basedOn w:val="17"/>
    <w:qFormat/>
    <w:uiPriority w:val="0"/>
    <w:pPr>
      <w:tabs>
        <w:tab w:val="left" w:pos="510"/>
      </w:tabs>
      <w:overflowPunct w:val="0"/>
      <w:autoSpaceDE w:val="0"/>
      <w:autoSpaceDN w:val="0"/>
      <w:adjustRightInd w:val="0"/>
      <w:spacing w:after="120"/>
      <w:ind w:left="510" w:hanging="397"/>
      <w:textAlignment w:val="baseline"/>
    </w:pPr>
    <w:rPr>
      <w:rFonts w:ascii="Arial" w:hAnsi="Arial" w:eastAsia="Times New Roman"/>
      <w:lang w:eastAsia="zh-CN"/>
    </w:rPr>
  </w:style>
  <w:style w:type="paragraph" w:styleId="17">
    <w:name w:val="Body Text"/>
    <w:basedOn w:val="1"/>
    <w:link w:val="101"/>
    <w:qFormat/>
    <w:uiPriority w:val="0"/>
    <w:pPr>
      <w:overflowPunct/>
      <w:autoSpaceDE/>
      <w:autoSpaceDN/>
      <w:adjustRightInd/>
      <w:textAlignment w:val="auto"/>
    </w:pPr>
    <w:rPr>
      <w:rFonts w:eastAsia="MS Mincho"/>
    </w:rPr>
  </w:style>
  <w:style w:type="paragraph" w:styleId="18">
    <w:name w:val="Document Map"/>
    <w:basedOn w:val="1"/>
    <w:semiHidden/>
    <w:qFormat/>
    <w:uiPriority w:val="0"/>
    <w:pPr>
      <w:shd w:val="clear" w:color="auto" w:fill="000080"/>
    </w:pPr>
    <w:rPr>
      <w:rFonts w:ascii="Tahoma" w:hAnsi="Tahoma" w:cs="Tahoma"/>
    </w:rPr>
  </w:style>
  <w:style w:type="paragraph" w:styleId="19">
    <w:name w:val="Body Text Indent"/>
    <w:basedOn w:val="1"/>
    <w:qFormat/>
    <w:uiPriority w:val="0"/>
    <w:pPr>
      <w:spacing w:after="120"/>
      <w:ind w:left="283"/>
    </w:pPr>
  </w:style>
  <w:style w:type="paragraph" w:styleId="20">
    <w:name w:val="List 2"/>
    <w:basedOn w:val="1"/>
    <w:unhideWhenUsed/>
    <w:qFormat/>
    <w:uiPriority w:val="99"/>
    <w:pPr>
      <w:ind w:left="566" w:hanging="283"/>
    </w:pPr>
  </w:style>
  <w:style w:type="paragraph" w:styleId="21">
    <w:name w:val="Balloon Text"/>
    <w:basedOn w:val="1"/>
    <w:link w:val="37"/>
    <w:unhideWhenUsed/>
    <w:qFormat/>
    <w:uiPriority w:val="99"/>
    <w:pPr>
      <w:spacing w:after="0"/>
    </w:pPr>
    <w:rPr>
      <w:rFonts w:ascii="Tahoma" w:hAnsi="Tahoma" w:cs="Tahoma"/>
      <w:sz w:val="16"/>
      <w:szCs w:val="16"/>
    </w:rPr>
  </w:style>
  <w:style w:type="paragraph" w:styleId="22">
    <w:name w:val="footer"/>
    <w:basedOn w:val="1"/>
    <w:link w:val="58"/>
    <w:unhideWhenUsed/>
    <w:qFormat/>
    <w:uiPriority w:val="99"/>
    <w:pPr>
      <w:tabs>
        <w:tab w:val="center" w:pos="4513"/>
        <w:tab w:val="right" w:pos="9026"/>
      </w:tabs>
      <w:snapToGrid w:val="0"/>
    </w:pPr>
  </w:style>
  <w:style w:type="paragraph" w:styleId="23">
    <w:name w:val="header"/>
    <w:link w:val="52"/>
    <w:qFormat/>
    <w:uiPriority w:val="0"/>
    <w:pPr>
      <w:widowControl w:val="0"/>
      <w:overflowPunct w:val="0"/>
      <w:autoSpaceDE w:val="0"/>
      <w:autoSpaceDN w:val="0"/>
      <w:adjustRightInd w:val="0"/>
      <w:spacing w:after="200" w:line="276" w:lineRule="auto"/>
      <w:textAlignment w:val="baseline"/>
    </w:pPr>
    <w:rPr>
      <w:rFonts w:ascii="Arial" w:hAnsi="Arial" w:eastAsia="Times New Roman" w:cs="Times New Roman"/>
      <w:b/>
      <w:sz w:val="18"/>
      <w:lang w:val="en-US" w:eastAsia="en-US" w:bidi="ar-SA"/>
    </w:rPr>
  </w:style>
  <w:style w:type="paragraph" w:styleId="24">
    <w:name w:val="toc 1"/>
    <w:next w:val="1"/>
    <w:qFormat/>
    <w:uiPriority w:val="39"/>
    <w:pPr>
      <w:keepNext/>
      <w:keepLines/>
      <w:widowControl w:val="0"/>
      <w:tabs>
        <w:tab w:val="left" w:pos="1701"/>
      </w:tabs>
      <w:overflowPunct w:val="0"/>
      <w:autoSpaceDE w:val="0"/>
      <w:autoSpaceDN w:val="0"/>
      <w:adjustRightInd w:val="0"/>
      <w:spacing w:before="120" w:after="200" w:line="276" w:lineRule="auto"/>
      <w:ind w:left="1701" w:hanging="1701"/>
      <w:textAlignment w:val="baseline"/>
    </w:pPr>
    <w:rPr>
      <w:rFonts w:ascii="Arial" w:hAnsi="Arial" w:eastAsia="宋体" w:cs="Times New Roman"/>
      <w:b/>
      <w:szCs w:val="22"/>
      <w:lang w:val="en-US" w:eastAsia="zh-CN" w:bidi="ar-SA"/>
    </w:rPr>
  </w:style>
  <w:style w:type="paragraph" w:styleId="25">
    <w:name w:val="List"/>
    <w:basedOn w:val="1"/>
    <w:qFormat/>
    <w:uiPriority w:val="0"/>
    <w:pPr>
      <w:ind w:left="283" w:hanging="283"/>
    </w:pPr>
  </w:style>
  <w:style w:type="paragraph" w:styleId="26">
    <w:name w:val="footnote text"/>
    <w:basedOn w:val="1"/>
    <w:unhideWhenUsed/>
    <w:qFormat/>
    <w:uiPriority w:val="99"/>
    <w:pPr>
      <w:snapToGrid w:val="0"/>
      <w:jc w:val="left"/>
    </w:pPr>
    <w:rPr>
      <w:sz w:val="18"/>
    </w:rPr>
  </w:style>
  <w:style w:type="paragraph" w:styleId="27">
    <w:name w:val="Normal (Web)"/>
    <w:basedOn w:val="1"/>
    <w:qFormat/>
    <w:uiPriority w:val="99"/>
    <w:pPr>
      <w:overflowPunct/>
      <w:autoSpaceDE/>
      <w:autoSpaceDN/>
      <w:adjustRightInd/>
      <w:spacing w:before="100" w:beforeAutospacing="1" w:after="100" w:afterAutospacing="1"/>
      <w:textAlignment w:val="auto"/>
    </w:pPr>
    <w:rPr>
      <w:rFonts w:eastAsia="宋体"/>
      <w:sz w:val="24"/>
      <w:szCs w:val="24"/>
      <w:lang w:val="en-US" w:eastAsia="zh-CN" w:bidi="he-IL"/>
    </w:rPr>
  </w:style>
  <w:style w:type="character" w:styleId="29">
    <w:name w:val="Strong"/>
    <w:basedOn w:val="28"/>
    <w:qFormat/>
    <w:uiPriority w:val="22"/>
    <w:rPr>
      <w:b/>
      <w:bCs/>
    </w:rPr>
  </w:style>
  <w:style w:type="character" w:styleId="30">
    <w:name w:val="FollowedHyperlink"/>
    <w:basedOn w:val="28"/>
    <w:qFormat/>
    <w:uiPriority w:val="0"/>
    <w:rPr>
      <w:color w:val="800080"/>
      <w:u w:val="single"/>
    </w:rPr>
  </w:style>
  <w:style w:type="character" w:styleId="31">
    <w:name w:val="Emphasis"/>
    <w:basedOn w:val="28"/>
    <w:qFormat/>
    <w:uiPriority w:val="20"/>
    <w:rPr>
      <w:i/>
    </w:rPr>
  </w:style>
  <w:style w:type="character" w:styleId="32">
    <w:name w:val="Hyperlink"/>
    <w:basedOn w:val="28"/>
    <w:unhideWhenUsed/>
    <w:qFormat/>
    <w:uiPriority w:val="99"/>
    <w:rPr>
      <w:color w:val="0000FF"/>
      <w:u w:val="single"/>
    </w:rPr>
  </w:style>
  <w:style w:type="character" w:styleId="33">
    <w:name w:val="annotation reference"/>
    <w:basedOn w:val="28"/>
    <w:unhideWhenUsed/>
    <w:qFormat/>
    <w:uiPriority w:val="0"/>
    <w:rPr>
      <w:sz w:val="16"/>
      <w:szCs w:val="16"/>
    </w:rPr>
  </w:style>
  <w:style w:type="character" w:styleId="34">
    <w:name w:val="footnote reference"/>
    <w:basedOn w:val="28"/>
    <w:unhideWhenUsed/>
    <w:qFormat/>
    <w:uiPriority w:val="99"/>
    <w:rPr>
      <w:vertAlign w:val="superscript"/>
    </w:rPr>
  </w:style>
  <w:style w:type="table" w:styleId="36">
    <w:name w:val="Table Grid"/>
    <w:basedOn w:val="35"/>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37">
    <w:name w:val="批注框文本 Char"/>
    <w:basedOn w:val="28"/>
    <w:link w:val="21"/>
    <w:semiHidden/>
    <w:qFormat/>
    <w:uiPriority w:val="99"/>
    <w:rPr>
      <w:rFonts w:ascii="Tahoma" w:hAnsi="Tahoma" w:eastAsia="Times New Roman" w:cs="Tahoma"/>
      <w:sz w:val="16"/>
      <w:szCs w:val="16"/>
      <w:lang w:val="en-GB"/>
    </w:rPr>
  </w:style>
  <w:style w:type="character" w:customStyle="1" w:styleId="38">
    <w:name w:val="题注 Char"/>
    <w:basedOn w:val="28"/>
    <w:link w:val="15"/>
    <w:qFormat/>
    <w:uiPriority w:val="0"/>
    <w:rPr>
      <w:b/>
      <w:bCs/>
      <w:lang w:val="en-GB" w:eastAsia="en-US" w:bidi="ar-SA"/>
    </w:rPr>
  </w:style>
  <w:style w:type="character" w:customStyle="1" w:styleId="39">
    <w:name w:val="B1 (文字)"/>
    <w:basedOn w:val="28"/>
    <w:qFormat/>
    <w:uiPriority w:val="0"/>
    <w:rPr>
      <w:rFonts w:eastAsia="Times New Roman"/>
    </w:rPr>
  </w:style>
  <w:style w:type="character" w:customStyle="1" w:styleId="40">
    <w:name w:val="样式 正文缩进d + 首行缩进:  2 字符 段前: 0.35 行 Char"/>
    <w:basedOn w:val="28"/>
    <w:link w:val="41"/>
    <w:qFormat/>
    <w:locked/>
    <w:uiPriority w:val="0"/>
    <w:rPr>
      <w:rFonts w:ascii="Times New Roman" w:hAnsi="Times New Roman" w:eastAsia="楷体_GB2312" w:cs="宋体"/>
      <w:snapToGrid w:val="0"/>
      <w:sz w:val="28"/>
    </w:rPr>
  </w:style>
  <w:style w:type="paragraph" w:customStyle="1" w:styleId="41">
    <w:name w:val="样式 正文缩进d + 首行缩进:  2 字符 段前: 0.35 行"/>
    <w:basedOn w:val="10"/>
    <w:link w:val="40"/>
    <w:qFormat/>
    <w:uiPriority w:val="0"/>
    <w:pPr>
      <w:widowControl w:val="0"/>
      <w:overflowPunct/>
      <w:autoSpaceDE/>
      <w:autoSpaceDN/>
      <w:snapToGrid w:val="0"/>
      <w:spacing w:beforeLines="35" w:after="0" w:line="460" w:lineRule="exact"/>
      <w:ind w:firstLine="560"/>
    </w:pPr>
    <w:rPr>
      <w:rFonts w:eastAsia="楷体_GB2312" w:cs="宋体"/>
      <w:snapToGrid w:val="0"/>
      <w:sz w:val="28"/>
      <w:lang w:val="en-US" w:eastAsia="zh-CN"/>
    </w:rPr>
  </w:style>
  <w:style w:type="character" w:customStyle="1" w:styleId="42">
    <w:name w:val="标题 1 Char"/>
    <w:basedOn w:val="28"/>
    <w:link w:val="2"/>
    <w:qFormat/>
    <w:uiPriority w:val="0"/>
    <w:rPr>
      <w:rFonts w:ascii="Arial" w:hAnsi="Arial" w:eastAsia="宋体"/>
      <w:sz w:val="28"/>
      <w:szCs w:val="22"/>
      <w:lang w:val="en-GB"/>
    </w:rPr>
  </w:style>
  <w:style w:type="character" w:customStyle="1" w:styleId="43">
    <w:name w:val="标题 4 Char"/>
    <w:basedOn w:val="28"/>
    <w:link w:val="5"/>
    <w:qFormat/>
    <w:uiPriority w:val="0"/>
    <w:rPr>
      <w:rFonts w:ascii="Times New Roman" w:hAnsi="Times New Roman" w:eastAsia="Times New Roman"/>
      <w:b/>
      <w:bCs/>
      <w:sz w:val="28"/>
      <w:szCs w:val="28"/>
      <w:lang w:val="en-GB" w:eastAsia="en-US"/>
    </w:rPr>
  </w:style>
  <w:style w:type="character" w:customStyle="1" w:styleId="44">
    <w:name w:val="批注文字 Char"/>
    <w:basedOn w:val="28"/>
    <w:link w:val="13"/>
    <w:semiHidden/>
    <w:qFormat/>
    <w:uiPriority w:val="0"/>
    <w:rPr>
      <w:rFonts w:ascii="Times New Roman" w:hAnsi="Times New Roman" w:eastAsia="Times New Roman" w:cs="Times New Roman"/>
      <w:sz w:val="20"/>
      <w:szCs w:val="20"/>
      <w:lang w:val="en-GB"/>
    </w:rPr>
  </w:style>
  <w:style w:type="character" w:customStyle="1" w:styleId="45">
    <w:name w:val="TH Char"/>
    <w:link w:val="46"/>
    <w:qFormat/>
    <w:uiPriority w:val="0"/>
    <w:rPr>
      <w:rFonts w:ascii="Arial" w:hAnsi="Arial" w:eastAsia="Times New Roman"/>
      <w:b/>
      <w:lang w:val="en-GB" w:eastAsia="en-GB"/>
    </w:rPr>
  </w:style>
  <w:style w:type="paragraph" w:customStyle="1" w:styleId="46">
    <w:name w:val="TH"/>
    <w:basedOn w:val="1"/>
    <w:link w:val="45"/>
    <w:qFormat/>
    <w:uiPriority w:val="0"/>
    <w:pPr>
      <w:keepNext/>
      <w:keepLines/>
      <w:spacing w:before="60"/>
      <w:jc w:val="center"/>
    </w:pPr>
    <w:rPr>
      <w:rFonts w:ascii="Arial" w:hAnsi="Arial"/>
      <w:b/>
      <w:lang w:eastAsia="en-GB"/>
    </w:rPr>
  </w:style>
  <w:style w:type="character" w:customStyle="1" w:styleId="47">
    <w:name w:val="标题 8 Char"/>
    <w:basedOn w:val="28"/>
    <w:link w:val="9"/>
    <w:qFormat/>
    <w:uiPriority w:val="0"/>
    <w:rPr>
      <w:rFonts w:ascii="Arial" w:hAnsi="Arial" w:eastAsia="宋体"/>
      <w:kern w:val="2"/>
      <w:sz w:val="21"/>
      <w:szCs w:val="24"/>
    </w:rPr>
  </w:style>
  <w:style w:type="character" w:customStyle="1" w:styleId="48">
    <w:name w:val="TAL Char"/>
    <w:basedOn w:val="28"/>
    <w:link w:val="49"/>
    <w:qFormat/>
    <w:uiPriority w:val="0"/>
    <w:rPr>
      <w:rFonts w:ascii="Arial" w:hAnsi="Arial"/>
      <w:sz w:val="18"/>
      <w:lang w:val="en-GB" w:eastAsia="ja-JP" w:bidi="ar-SA"/>
    </w:rPr>
  </w:style>
  <w:style w:type="paragraph" w:customStyle="1" w:styleId="49">
    <w:name w:val="TAL"/>
    <w:basedOn w:val="1"/>
    <w:link w:val="48"/>
    <w:qFormat/>
    <w:uiPriority w:val="0"/>
    <w:pPr>
      <w:keepNext/>
      <w:keepLines/>
      <w:spacing w:after="0"/>
    </w:pPr>
    <w:rPr>
      <w:rFonts w:ascii="Arial" w:hAnsi="Arial"/>
      <w:sz w:val="18"/>
      <w:lang w:eastAsia="ja-JP"/>
    </w:rPr>
  </w:style>
  <w:style w:type="character" w:customStyle="1" w:styleId="50">
    <w:name w:val="Text Car"/>
    <w:basedOn w:val="28"/>
    <w:link w:val="51"/>
    <w:qFormat/>
    <w:uiPriority w:val="0"/>
    <w:rPr>
      <w:rFonts w:ascii="Arial" w:hAnsi="Arial"/>
      <w:lang w:val="en-US" w:eastAsia="en-US" w:bidi="ar-SA"/>
    </w:rPr>
  </w:style>
  <w:style w:type="paragraph" w:customStyle="1" w:styleId="51">
    <w:name w:val="Text"/>
    <w:basedOn w:val="1"/>
    <w:link w:val="50"/>
    <w:qFormat/>
    <w:uiPriority w:val="0"/>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52">
    <w:name w:val="页眉 Char"/>
    <w:basedOn w:val="28"/>
    <w:link w:val="23"/>
    <w:qFormat/>
    <w:uiPriority w:val="0"/>
    <w:rPr>
      <w:rFonts w:ascii="Arial" w:hAnsi="Arial" w:eastAsia="Times New Roman"/>
      <w:b/>
      <w:sz w:val="18"/>
      <w:lang w:val="en-US" w:eastAsia="en-US" w:bidi="ar-SA"/>
    </w:rPr>
  </w:style>
  <w:style w:type="character" w:customStyle="1" w:styleId="53">
    <w:name w:val="标题 9 Char"/>
    <w:basedOn w:val="28"/>
    <w:link w:val="11"/>
    <w:qFormat/>
    <w:uiPriority w:val="0"/>
    <w:rPr>
      <w:rFonts w:ascii="Arial" w:hAnsi="Arial" w:eastAsia="宋体"/>
      <w:kern w:val="2"/>
      <w:sz w:val="21"/>
      <w:szCs w:val="24"/>
    </w:rPr>
  </w:style>
  <w:style w:type="character" w:customStyle="1" w:styleId="54">
    <w:name w:val="Doc-title Char"/>
    <w:basedOn w:val="28"/>
    <w:link w:val="55"/>
    <w:qFormat/>
    <w:uiPriority w:val="0"/>
    <w:rPr>
      <w:rFonts w:ascii="Arial" w:hAnsi="Arial" w:eastAsia="MS Mincho"/>
      <w:szCs w:val="24"/>
      <w:lang w:val="en-GB" w:eastAsia="en-GB" w:bidi="ar-SA"/>
    </w:rPr>
  </w:style>
  <w:style w:type="paragraph" w:customStyle="1" w:styleId="55">
    <w:name w:val="Doc-title"/>
    <w:basedOn w:val="1"/>
    <w:next w:val="56"/>
    <w:link w:val="54"/>
    <w:qFormat/>
    <w:uiPriority w:val="0"/>
    <w:pPr>
      <w:overflowPunct/>
      <w:autoSpaceDE/>
      <w:autoSpaceDN/>
      <w:adjustRightInd/>
      <w:spacing w:after="0"/>
      <w:ind w:left="1259" w:hanging="1259"/>
      <w:textAlignment w:val="auto"/>
    </w:pPr>
    <w:rPr>
      <w:rFonts w:ascii="Arial" w:hAnsi="Arial" w:eastAsia="MS Mincho"/>
      <w:szCs w:val="24"/>
      <w:lang w:val="en-US" w:eastAsia="en-GB"/>
    </w:rPr>
  </w:style>
  <w:style w:type="paragraph" w:customStyle="1" w:styleId="56">
    <w:name w:val="Doc-text2"/>
    <w:basedOn w:val="1"/>
    <w:link w:val="59"/>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customStyle="1" w:styleId="57">
    <w:name w:val="批注主题 Char"/>
    <w:basedOn w:val="44"/>
    <w:link w:val="12"/>
    <w:semiHidden/>
    <w:qFormat/>
    <w:uiPriority w:val="99"/>
    <w:rPr>
      <w:rFonts w:ascii="Times New Roman" w:hAnsi="Times New Roman" w:eastAsia="Times New Roman" w:cs="Times New Roman"/>
      <w:b/>
      <w:bCs/>
      <w:sz w:val="20"/>
      <w:szCs w:val="20"/>
      <w:lang w:val="en-GB"/>
    </w:rPr>
  </w:style>
  <w:style w:type="character" w:customStyle="1" w:styleId="58">
    <w:name w:val="页脚 Char"/>
    <w:basedOn w:val="28"/>
    <w:link w:val="22"/>
    <w:qFormat/>
    <w:uiPriority w:val="99"/>
    <w:rPr>
      <w:rFonts w:ascii="Times New Roman" w:hAnsi="Times New Roman" w:eastAsia="Times New Roman"/>
      <w:lang w:val="en-GB" w:eastAsia="en-US"/>
    </w:rPr>
  </w:style>
  <w:style w:type="character" w:customStyle="1" w:styleId="59">
    <w:name w:val="Doc-text2 Char"/>
    <w:basedOn w:val="28"/>
    <w:link w:val="56"/>
    <w:qFormat/>
    <w:uiPriority w:val="0"/>
    <w:rPr>
      <w:rFonts w:ascii="Arial" w:hAnsi="Arial" w:eastAsia="MS Mincho"/>
      <w:szCs w:val="24"/>
      <w:lang w:val="en-GB" w:eastAsia="en-GB" w:bidi="ar-SA"/>
    </w:rPr>
  </w:style>
  <w:style w:type="character" w:customStyle="1" w:styleId="60">
    <w:name w:val="B1 Char1"/>
    <w:basedOn w:val="28"/>
    <w:link w:val="61"/>
    <w:qFormat/>
    <w:uiPriority w:val="0"/>
    <w:rPr>
      <w:rFonts w:eastAsia="MS Mincho"/>
      <w:lang w:val="en-GB" w:eastAsia="en-US" w:bidi="ar-SA"/>
    </w:rPr>
  </w:style>
  <w:style w:type="paragraph" w:customStyle="1" w:styleId="61">
    <w:name w:val="B1"/>
    <w:basedOn w:val="1"/>
    <w:link w:val="60"/>
    <w:qFormat/>
    <w:uiPriority w:val="0"/>
    <w:pPr>
      <w:overflowPunct/>
      <w:autoSpaceDE/>
      <w:autoSpaceDN/>
      <w:adjustRightInd/>
      <w:ind w:left="568" w:hanging="284"/>
      <w:textAlignment w:val="auto"/>
    </w:pPr>
    <w:rPr>
      <w:rFonts w:eastAsia="MS Mincho"/>
    </w:rPr>
  </w:style>
  <w:style w:type="character" w:customStyle="1" w:styleId="62">
    <w:name w:val="NO Char"/>
    <w:basedOn w:val="28"/>
    <w:link w:val="63"/>
    <w:qFormat/>
    <w:uiPriority w:val="0"/>
    <w:rPr>
      <w:rFonts w:eastAsia="MS Mincho"/>
      <w:lang w:val="en-GB" w:eastAsia="en-US" w:bidi="ar-SA"/>
    </w:rPr>
  </w:style>
  <w:style w:type="paragraph" w:customStyle="1" w:styleId="63">
    <w:name w:val="NO"/>
    <w:basedOn w:val="1"/>
    <w:link w:val="62"/>
    <w:qFormat/>
    <w:uiPriority w:val="0"/>
    <w:pPr>
      <w:keepLines/>
      <w:overflowPunct/>
      <w:autoSpaceDE/>
      <w:autoSpaceDN/>
      <w:adjustRightInd/>
      <w:ind w:left="1135" w:hanging="851"/>
      <w:textAlignment w:val="auto"/>
    </w:pPr>
    <w:rPr>
      <w:rFonts w:eastAsia="MS Mincho"/>
    </w:rPr>
  </w:style>
  <w:style w:type="character" w:customStyle="1" w:styleId="64">
    <w:name w:val="TAH Char"/>
    <w:basedOn w:val="28"/>
    <w:link w:val="65"/>
    <w:qFormat/>
    <w:uiPriority w:val="0"/>
    <w:rPr>
      <w:rFonts w:ascii="Arial" w:hAnsi="Arial"/>
      <w:b/>
      <w:sz w:val="18"/>
      <w:lang w:val="en-GB" w:eastAsia="ja-JP" w:bidi="ar-SA"/>
    </w:rPr>
  </w:style>
  <w:style w:type="paragraph" w:customStyle="1" w:styleId="65">
    <w:name w:val="TAH"/>
    <w:basedOn w:val="1"/>
    <w:link w:val="64"/>
    <w:qFormat/>
    <w:uiPriority w:val="0"/>
    <w:pPr>
      <w:keepNext/>
      <w:keepLines/>
      <w:spacing w:after="0"/>
      <w:jc w:val="center"/>
    </w:pPr>
    <w:rPr>
      <w:rFonts w:ascii="Arial" w:hAnsi="Arial"/>
      <w:b/>
      <w:sz w:val="18"/>
      <w:lang w:eastAsia="ja-JP"/>
    </w:rPr>
  </w:style>
  <w:style w:type="character" w:customStyle="1" w:styleId="66">
    <w:name w:val="msoins"/>
    <w:basedOn w:val="28"/>
    <w:qFormat/>
    <w:uiPriority w:val="0"/>
  </w:style>
  <w:style w:type="character" w:customStyle="1" w:styleId="67">
    <w:name w:val="B2 Char1"/>
    <w:basedOn w:val="44"/>
    <w:link w:val="68"/>
    <w:qFormat/>
    <w:uiPriority w:val="0"/>
    <w:rPr>
      <w:rFonts w:ascii="Times New Roman" w:hAnsi="Times New Roman" w:eastAsia="Times New Roman" w:cs="Times New Roman"/>
      <w:sz w:val="20"/>
      <w:szCs w:val="20"/>
      <w:lang w:val="en-GB" w:eastAsia="en-US" w:bidi="ar-SA"/>
    </w:rPr>
  </w:style>
  <w:style w:type="paragraph" w:customStyle="1" w:styleId="68">
    <w:name w:val="B2"/>
    <w:basedOn w:val="1"/>
    <w:link w:val="67"/>
    <w:qFormat/>
    <w:uiPriority w:val="0"/>
    <w:pPr>
      <w:overflowPunct/>
      <w:autoSpaceDE/>
      <w:autoSpaceDN/>
      <w:adjustRightInd/>
      <w:ind w:left="851" w:hanging="284"/>
      <w:textAlignment w:val="auto"/>
    </w:pPr>
  </w:style>
  <w:style w:type="character" w:customStyle="1" w:styleId="69">
    <w:name w:val="TAL + Left:  1.00 cm Char Char"/>
    <w:basedOn w:val="48"/>
    <w:link w:val="70"/>
    <w:qFormat/>
    <w:uiPriority w:val="0"/>
    <w:rPr>
      <w:rFonts w:ascii="Arial" w:hAnsi="Arial"/>
      <w:sz w:val="18"/>
      <w:lang w:val="en-GB" w:eastAsia="en-GB" w:bidi="ar-SA"/>
    </w:rPr>
  </w:style>
  <w:style w:type="paragraph" w:customStyle="1" w:styleId="70">
    <w:name w:val="TAL + Left:  1"/>
    <w:basedOn w:val="49"/>
    <w:link w:val="69"/>
    <w:qFormat/>
    <w:uiPriority w:val="0"/>
    <w:pPr>
      <w:ind w:left="567"/>
    </w:pPr>
    <w:rPr>
      <w:lang w:eastAsia="en-GB"/>
    </w:rPr>
  </w:style>
  <w:style w:type="character" w:customStyle="1" w:styleId="71">
    <w:name w:val="header odd Char"/>
    <w:basedOn w:val="28"/>
    <w:qFormat/>
    <w:uiPriority w:val="0"/>
    <w:rPr>
      <w:lang w:val="en-GB" w:eastAsia="en-US" w:bidi="ar-SA"/>
    </w:rPr>
  </w:style>
  <w:style w:type="character" w:customStyle="1" w:styleId="72">
    <w:name w:val="B1 Char"/>
    <w:basedOn w:val="28"/>
    <w:qFormat/>
    <w:uiPriority w:val="0"/>
    <w:rPr>
      <w:rFonts w:ascii="Times New Roman" w:hAnsi="Times New Roman"/>
      <w:lang w:val="en-GB" w:eastAsia="en-US"/>
    </w:rPr>
  </w:style>
  <w:style w:type="character" w:customStyle="1" w:styleId="73">
    <w:name w:val="PL Char"/>
    <w:basedOn w:val="28"/>
    <w:link w:val="74"/>
    <w:qFormat/>
    <w:uiPriority w:val="0"/>
    <w:rPr>
      <w:rFonts w:ascii="Courier New" w:hAnsi="Courier New" w:eastAsia="宋体"/>
      <w:sz w:val="16"/>
      <w:lang w:val="en-GB" w:eastAsia="ja-JP" w:bidi="ar-SA"/>
    </w:rPr>
  </w:style>
  <w:style w:type="paragraph" w:customStyle="1" w:styleId="74">
    <w:name w:val="PL"/>
    <w:link w:val="7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hAnsi="Courier New" w:eastAsia="宋体" w:cs="Times New Roman"/>
      <w:sz w:val="16"/>
      <w:lang w:val="en-GB" w:eastAsia="ja-JP" w:bidi="ar-SA"/>
    </w:rPr>
  </w:style>
  <w:style w:type="character" w:customStyle="1" w:styleId="75">
    <w:name w:val="TAC Char"/>
    <w:link w:val="76"/>
    <w:qFormat/>
    <w:uiPriority w:val="0"/>
    <w:rPr>
      <w:rFonts w:ascii="Arial" w:hAnsi="Arial" w:eastAsia="Times New Roman"/>
      <w:sz w:val="18"/>
      <w:lang w:val="en-GB" w:eastAsia="ja-JP"/>
    </w:rPr>
  </w:style>
  <w:style w:type="paragraph" w:customStyle="1" w:styleId="76">
    <w:name w:val="TAC"/>
    <w:basedOn w:val="49"/>
    <w:link w:val="75"/>
    <w:qFormat/>
    <w:uiPriority w:val="0"/>
    <w:pPr>
      <w:jc w:val="center"/>
    </w:pPr>
  </w:style>
  <w:style w:type="character" w:customStyle="1" w:styleId="77">
    <w:name w:val="占位符文本1"/>
    <w:basedOn w:val="28"/>
    <w:semiHidden/>
    <w:qFormat/>
    <w:uiPriority w:val="99"/>
    <w:rPr>
      <w:color w:val="808080"/>
    </w:rPr>
  </w:style>
  <w:style w:type="character" w:customStyle="1" w:styleId="78">
    <w:name w:val="MTEquationSection"/>
    <w:basedOn w:val="28"/>
    <w:qFormat/>
    <w:uiPriority w:val="0"/>
    <w:rPr>
      <w:rFonts w:cs="Arial"/>
      <w:bCs/>
      <w:vanish/>
      <w:color w:val="FF0000"/>
      <w:sz w:val="28"/>
      <w:szCs w:val="28"/>
      <w:lang w:eastAsia="zh-CN"/>
    </w:rPr>
  </w:style>
  <w:style w:type="character" w:customStyle="1" w:styleId="79">
    <w:name w:val="MTDisplayEquation Char"/>
    <w:basedOn w:val="28"/>
    <w:link w:val="80"/>
    <w:qFormat/>
    <w:uiPriority w:val="0"/>
    <w:rPr>
      <w:rFonts w:ascii="Times New Roman" w:hAnsi="Times New Roman" w:eastAsia="宋体"/>
    </w:rPr>
  </w:style>
  <w:style w:type="paragraph" w:customStyle="1" w:styleId="80">
    <w:name w:val="MTDisplayEquation"/>
    <w:basedOn w:val="1"/>
    <w:next w:val="1"/>
    <w:link w:val="79"/>
    <w:qFormat/>
    <w:uiPriority w:val="0"/>
    <w:pPr>
      <w:tabs>
        <w:tab w:val="center" w:pos="4680"/>
        <w:tab w:val="right" w:pos="9360"/>
      </w:tabs>
    </w:pPr>
    <w:rPr>
      <w:rFonts w:eastAsia="宋体"/>
      <w:lang w:val="en-US" w:eastAsia="zh-CN"/>
    </w:rPr>
  </w:style>
  <w:style w:type="character" w:customStyle="1" w:styleId="81">
    <w:name w:val="apple-converted-space"/>
    <w:basedOn w:val="28"/>
    <w:qFormat/>
    <w:uiPriority w:val="0"/>
  </w:style>
  <w:style w:type="character" w:customStyle="1" w:styleId="82">
    <w:name w:val="列出段落 Char"/>
    <w:link w:val="83"/>
    <w:qFormat/>
    <w:uiPriority w:val="72"/>
    <w:rPr>
      <w:rFonts w:ascii="宋体" w:hAnsi="宋体" w:eastAsia="宋体" w:cs="宋体"/>
      <w:sz w:val="24"/>
      <w:szCs w:val="24"/>
    </w:rPr>
  </w:style>
  <w:style w:type="paragraph" w:customStyle="1" w:styleId="83">
    <w:name w:val="列出段落1"/>
    <w:basedOn w:val="1"/>
    <w:link w:val="82"/>
    <w:qFormat/>
    <w:uiPriority w:val="72"/>
    <w:pPr>
      <w:overflowPunct/>
      <w:autoSpaceDE/>
      <w:autoSpaceDN/>
      <w:adjustRightInd/>
      <w:spacing w:after="0"/>
      <w:ind w:firstLine="420" w:firstLineChars="200"/>
      <w:textAlignment w:val="auto"/>
    </w:pPr>
    <w:rPr>
      <w:rFonts w:ascii="宋体" w:hAnsi="宋体" w:eastAsia="宋体"/>
      <w:sz w:val="24"/>
      <w:szCs w:val="24"/>
    </w:rPr>
  </w:style>
  <w:style w:type="paragraph" w:customStyle="1" w:styleId="84">
    <w:name w:val="TAL + Left: 125 cm"/>
    <w:basedOn w:val="1"/>
    <w:qFormat/>
    <w:uiPriority w:val="0"/>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85">
    <w:name w:val="Reference"/>
    <w:basedOn w:val="1"/>
    <w:qFormat/>
    <w:uiPriority w:val="0"/>
    <w:pPr>
      <w:tabs>
        <w:tab w:val="left" w:pos="420"/>
      </w:tabs>
      <w:ind w:left="420" w:right="-99" w:hanging="420"/>
    </w:pPr>
    <w:rPr>
      <w:rFonts w:eastAsia="MS Mincho"/>
      <w:sz w:val="22"/>
    </w:rPr>
  </w:style>
  <w:style w:type="paragraph" w:customStyle="1" w:styleId="86">
    <w:name w:val="CR Cover Page"/>
    <w:qFormat/>
    <w:uiPriority w:val="0"/>
    <w:pPr>
      <w:spacing w:after="120" w:line="276" w:lineRule="auto"/>
    </w:pPr>
    <w:rPr>
      <w:rFonts w:ascii="Arial" w:hAnsi="Arial" w:eastAsia="MS Mincho" w:cs="Times New Roman"/>
      <w:lang w:val="en-GB" w:eastAsia="en-US" w:bidi="ar-SA"/>
    </w:rPr>
  </w:style>
  <w:style w:type="paragraph" w:customStyle="1" w:styleId="87">
    <w:name w:val="附图正文"/>
    <w:basedOn w:val="1"/>
    <w:qFormat/>
    <w:uiPriority w:val="0"/>
    <w:pPr>
      <w:widowControl w:val="0"/>
      <w:overflowPunct/>
      <w:autoSpaceDE/>
      <w:autoSpaceDN/>
      <w:snapToGrid w:val="0"/>
      <w:spacing w:after="0"/>
    </w:pPr>
    <w:rPr>
      <w:rFonts w:eastAsia="宋体"/>
      <w:bCs/>
      <w:snapToGrid w:val="0"/>
      <w:sz w:val="28"/>
      <w:lang w:val="en-US" w:eastAsia="zh-CN"/>
    </w:rPr>
  </w:style>
  <w:style w:type="paragraph" w:customStyle="1" w:styleId="88">
    <w:name w:val="修订1"/>
    <w:semiHidden/>
    <w:qFormat/>
    <w:uiPriority w:val="99"/>
    <w:pPr>
      <w:spacing w:after="200" w:line="276" w:lineRule="auto"/>
    </w:pPr>
    <w:rPr>
      <w:rFonts w:ascii="Times New Roman" w:hAnsi="Times New Roman" w:eastAsia="Times New Roman" w:cs="Times New Roman"/>
      <w:lang w:val="en-GB" w:eastAsia="en-US" w:bidi="ar-SA"/>
    </w:rPr>
  </w:style>
  <w:style w:type="paragraph" w:customStyle="1" w:styleId="89">
    <w:name w:val="EQ"/>
    <w:basedOn w:val="1"/>
    <w:next w:val="1"/>
    <w:qFormat/>
    <w:uiPriority w:val="0"/>
    <w:pPr>
      <w:keepLines/>
      <w:tabs>
        <w:tab w:val="center" w:pos="4536"/>
        <w:tab w:val="right" w:pos="9072"/>
      </w:tabs>
    </w:pPr>
    <w:rPr>
      <w:lang w:val="en-US" w:eastAsia="en-GB"/>
    </w:rPr>
  </w:style>
  <w:style w:type="paragraph" w:customStyle="1" w:styleId="90">
    <w:name w:val="doc-text2"/>
    <w:basedOn w:val="1"/>
    <w:qFormat/>
    <w:uiPriority w:val="0"/>
    <w:pPr>
      <w:overflowPunct/>
      <w:autoSpaceDE/>
      <w:autoSpaceDN/>
      <w:adjustRightInd/>
      <w:spacing w:after="0"/>
      <w:ind w:left="1622" w:hanging="363"/>
      <w:textAlignment w:val="auto"/>
    </w:pPr>
    <w:rPr>
      <w:rFonts w:ascii="Arial" w:hAnsi="Arial" w:eastAsia="宋体" w:cs="Arial"/>
      <w:lang w:val="en-US" w:eastAsia="zh-CN"/>
    </w:rPr>
  </w:style>
  <w:style w:type="paragraph" w:customStyle="1" w:styleId="91">
    <w:name w:val="List Paragraph1"/>
    <w:basedOn w:val="1"/>
    <w:qFormat/>
    <w:uiPriority w:val="34"/>
    <w:pPr>
      <w:ind w:left="720"/>
      <w:contextualSpacing/>
    </w:pPr>
  </w:style>
  <w:style w:type="paragraph" w:customStyle="1" w:styleId="92">
    <w:name w:val="Char Char13 (文字) (文字) Char Char"/>
    <w:basedOn w:val="1"/>
    <w:qFormat/>
    <w:uiPriority w:val="0"/>
    <w:pPr>
      <w:widowControl w:val="0"/>
      <w:overflowPunct/>
      <w:autoSpaceDE/>
      <w:autoSpaceDN/>
      <w:adjustRightInd/>
      <w:spacing w:after="0"/>
      <w:textAlignment w:val="auto"/>
    </w:pPr>
    <w:rPr>
      <w:rFonts w:eastAsia="宋体"/>
      <w:kern w:val="2"/>
      <w:sz w:val="21"/>
      <w:szCs w:val="24"/>
      <w:lang w:val="en-US" w:eastAsia="zh-CN"/>
    </w:rPr>
  </w:style>
  <w:style w:type="paragraph" w:customStyle="1" w:styleId="93">
    <w:name w:val="Style Numbered (Latin) Bold Before:  0 cm Hanging:  063 cm"/>
    <w:next w:val="25"/>
    <w:qFormat/>
    <w:uiPriority w:val="0"/>
    <w:pPr>
      <w:tabs>
        <w:tab w:val="left" w:pos="360"/>
      </w:tabs>
      <w:spacing w:after="200" w:line="276" w:lineRule="auto"/>
      <w:ind w:left="360" w:hanging="360"/>
    </w:pPr>
    <w:rPr>
      <w:rFonts w:ascii="Times New Roman" w:hAnsi="Times New Roman" w:eastAsia="MS Mincho" w:cs="Times New Roman"/>
      <w:lang w:val="en-GB" w:eastAsia="en-US" w:bidi="ar-SA"/>
    </w:rPr>
  </w:style>
  <w:style w:type="paragraph" w:customStyle="1" w:styleId="94">
    <w:name w:val="Observation"/>
    <w:basedOn w:val="1"/>
    <w:qFormat/>
    <w:uiPriority w:val="0"/>
    <w:pPr>
      <w:tabs>
        <w:tab w:val="left" w:pos="1701"/>
      </w:tabs>
      <w:spacing w:after="120"/>
      <w:ind w:left="360" w:hanging="360"/>
    </w:pPr>
    <w:rPr>
      <w:rFonts w:ascii="Arial" w:hAnsi="Arial" w:eastAsia="宋体"/>
      <w:b/>
      <w:bCs/>
      <w:lang w:eastAsia="zh-CN"/>
    </w:rPr>
  </w:style>
  <w:style w:type="paragraph" w:customStyle="1" w:styleId="95">
    <w:name w:val="3GPP_Header"/>
    <w:basedOn w:val="1"/>
    <w:qFormat/>
    <w:uiPriority w:val="0"/>
    <w:pPr>
      <w:tabs>
        <w:tab w:val="left" w:pos="1701"/>
        <w:tab w:val="right" w:pos="9639"/>
      </w:tabs>
      <w:spacing w:after="240"/>
    </w:pPr>
    <w:rPr>
      <w:rFonts w:ascii="Arial" w:hAnsi="Arial"/>
      <w:b/>
      <w:sz w:val="24"/>
      <w:lang w:eastAsia="zh-CN"/>
    </w:rPr>
  </w:style>
  <w:style w:type="paragraph" w:customStyle="1" w:styleId="96">
    <w:name w:val="TAL + Left: 1"/>
    <w:basedOn w:val="49"/>
    <w:qFormat/>
    <w:uiPriority w:val="0"/>
    <w:pPr>
      <w:ind w:left="567"/>
    </w:pPr>
    <w:rPr>
      <w:lang w:eastAsia="en-US"/>
    </w:rPr>
  </w:style>
  <w:style w:type="paragraph" w:customStyle="1" w:styleId="97">
    <w:name w:val="TF"/>
    <w:basedOn w:val="46"/>
    <w:qFormat/>
    <w:uiPriority w:val="0"/>
    <w:pPr>
      <w:keepNext w:val="0"/>
      <w:spacing w:before="0" w:after="240"/>
    </w:pPr>
  </w:style>
  <w:style w:type="paragraph" w:customStyle="1" w:styleId="98">
    <w:name w:val="ZT"/>
    <w:qFormat/>
    <w:uiPriority w:val="0"/>
    <w:pPr>
      <w:framePr w:wrap="notBeside" w:vAnchor="margin" w:hAnchor="margin" w:yAlign="center"/>
      <w:widowControl w:val="0"/>
      <w:spacing w:after="200" w:line="240" w:lineRule="atLeast"/>
      <w:jc w:val="right"/>
    </w:pPr>
    <w:rPr>
      <w:rFonts w:ascii="Arial" w:hAnsi="Arial" w:eastAsia="Batang" w:cs="Times New Roman"/>
      <w:b/>
      <w:sz w:val="34"/>
      <w:lang w:val="en-GB" w:eastAsia="en-US" w:bidi="ar-SA"/>
    </w:rPr>
  </w:style>
  <w:style w:type="paragraph" w:customStyle="1" w:styleId="99">
    <w:name w:val="ACTION"/>
    <w:basedOn w:val="1"/>
    <w:qFormat/>
    <w:uiPriority w:val="0"/>
    <w:pPr>
      <w:keepNext/>
      <w:keepLines/>
      <w:widowControl w:val="0"/>
      <w:pBdr>
        <w:top w:val="single" w:color="FF0000" w:sz="6" w:space="1"/>
        <w:left w:val="single" w:color="FF0000" w:sz="6" w:space="4"/>
        <w:bottom w:val="single" w:color="FF0000" w:sz="6" w:space="1"/>
        <w:right w:val="single" w:color="FF0000" w:sz="6" w:space="4"/>
      </w:pBdr>
      <w:tabs>
        <w:tab w:val="left" w:pos="1843"/>
      </w:tabs>
      <w:overflowPunct/>
      <w:autoSpaceDE/>
      <w:autoSpaceDN/>
      <w:adjustRightInd/>
      <w:spacing w:before="60" w:after="60"/>
      <w:ind w:left="1843" w:hanging="992"/>
      <w:textAlignment w:val="auto"/>
    </w:pPr>
    <w:rPr>
      <w:rFonts w:ascii="Arial" w:hAnsi="Arial" w:eastAsia="MS Mincho"/>
      <w:b/>
      <w:color w:val="FF0000"/>
    </w:rPr>
  </w:style>
  <w:style w:type="paragraph" w:customStyle="1" w:styleId="100">
    <w:name w:val="_Style 1"/>
    <w:basedOn w:val="1"/>
    <w:qFormat/>
    <w:uiPriority w:val="72"/>
    <w:pPr>
      <w:overflowPunct/>
      <w:autoSpaceDE/>
      <w:autoSpaceDN/>
      <w:adjustRightInd/>
      <w:spacing w:after="0"/>
      <w:ind w:firstLine="420" w:firstLineChars="200"/>
      <w:textAlignment w:val="auto"/>
    </w:pPr>
    <w:rPr>
      <w:rFonts w:ascii="宋体" w:hAnsi="宋体" w:eastAsia="宋体"/>
      <w:sz w:val="24"/>
      <w:szCs w:val="24"/>
    </w:rPr>
  </w:style>
  <w:style w:type="character" w:customStyle="1" w:styleId="101">
    <w:name w:val="正文文本 Char"/>
    <w:basedOn w:val="28"/>
    <w:link w:val="17"/>
    <w:qFormat/>
    <w:uiPriority w:val="0"/>
    <w:rPr>
      <w:rFonts w:eastAsia="MS Mincho"/>
      <w:lang w:val="en-GB" w:eastAsia="en-US"/>
    </w:rPr>
  </w:style>
  <w:style w:type="paragraph" w:customStyle="1" w:styleId="102">
    <w:name w:val="列出段落2"/>
    <w:basedOn w:val="1"/>
    <w:qFormat/>
    <w:uiPriority w:val="99"/>
    <w:pPr>
      <w:ind w:firstLine="420" w:firstLineChars="200"/>
    </w:pPr>
  </w:style>
  <w:style w:type="paragraph" w:customStyle="1" w:styleId="103">
    <w:name w:val="列出段落21"/>
    <w:basedOn w:val="1"/>
    <w:semiHidden/>
    <w:qFormat/>
    <w:uiPriority w:val="99"/>
    <w:pPr>
      <w:ind w:firstLine="420" w:firstLineChars="200"/>
    </w:pPr>
  </w:style>
  <w:style w:type="character" w:customStyle="1" w:styleId="104">
    <w:name w:val="标题 2 Char"/>
    <w:basedOn w:val="28"/>
    <w:link w:val="3"/>
    <w:qFormat/>
    <w:uiPriority w:val="0"/>
    <w:rPr>
      <w:rFonts w:eastAsia="Times New Roman" w:cs="Arial"/>
      <w:bCs/>
      <w:iCs/>
      <w:szCs w:val="28"/>
      <w:lang w:eastAsia="en-US"/>
    </w:rPr>
  </w:style>
  <w:style w:type="paragraph" w:customStyle="1" w:styleId="105">
    <w:name w:val="List Paragraph2"/>
    <w:basedOn w:val="1"/>
    <w:unhideWhenUsed/>
    <w:qFormat/>
    <w:uiPriority w:val="99"/>
    <w:pPr>
      <w:ind w:firstLine="420" w:firstLineChars="200"/>
    </w:pPr>
  </w:style>
  <w:style w:type="paragraph" w:styleId="106">
    <w:name w:val="List Paragraph"/>
    <w:basedOn w:val="1"/>
    <w:unhideWhenUsed/>
    <w:qFormat/>
    <w:uiPriority w:val="99"/>
    <w:pPr>
      <w:ind w:left="720"/>
      <w:contextualSpacing/>
    </w:pPr>
  </w:style>
  <w:style w:type="paragraph" w:customStyle="1" w:styleId="107">
    <w:name w:val="tabletext0"/>
    <w:basedOn w:val="1"/>
    <w:qFormat/>
    <w:uiPriority w:val="99"/>
    <w:pPr>
      <w:spacing w:before="100" w:beforeAutospacing="1" w:after="100" w:afterAutospacing="1"/>
    </w:pPr>
    <w:rPr>
      <w:rFonts w:ascii="Gulim" w:hAnsi="Gulim" w:eastAsia="Gulim" w:cs="Calibri"/>
      <w:sz w:val="24"/>
      <w:lang w:val="sv-SE" w:eastAsia="sv-SE"/>
    </w:rPr>
  </w:style>
  <w:style w:type="paragraph" w:customStyle="1" w:styleId="108">
    <w:name w:val="Comments"/>
    <w:basedOn w:val="1"/>
    <w:qFormat/>
    <w:uiPriority w:val="0"/>
    <w:pPr>
      <w:spacing w:before="40"/>
    </w:pPr>
    <w:rPr>
      <w:rFonts w:ascii="Arial" w:hAnsi="Arial" w:eastAsia="MS Mincho"/>
      <w:i/>
      <w:sz w:val="18"/>
      <w:lang w:eastAsia="en-GB"/>
    </w:rPr>
  </w:style>
  <w:style w:type="character" w:customStyle="1" w:styleId="109">
    <w:name w:val="via1"/>
    <w:basedOn w:val="28"/>
    <w:qFormat/>
    <w:uiPriority w:val="0"/>
    <w:rPr>
      <w:color w:val="959595"/>
    </w:rPr>
  </w:style>
  <w:style w:type="character" w:customStyle="1" w:styleId="110">
    <w:name w:val="via"/>
    <w:basedOn w:val="28"/>
    <w:qFormat/>
    <w:uiPriority w:val="0"/>
    <w:rPr>
      <w:color w:val="959595"/>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emf"/><Relationship Id="rId6" Type="http://schemas.openxmlformats.org/officeDocument/2006/relationships/oleObject" Target="embeddings/oleObject1.bin"/><Relationship Id="rId5" Type="http://schemas.openxmlformats.org/officeDocument/2006/relationships/image" Target="media/image1.emf"/><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49738C8-EDE2-4C75-9FD1-3CC9362C4A55}">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6</Pages>
  <Words>2719</Words>
  <Characters>15500</Characters>
  <Lines>129</Lines>
  <Paragraphs>36</Paragraphs>
  <TotalTime>5</TotalTime>
  <ScaleCrop>false</ScaleCrop>
  <LinksUpToDate>false</LinksUpToDate>
  <CharactersWithSpaces>18183</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2019-02-14T09:05:00Z</dcterms:created>
  <dc:creator>ZTE</dc:creator>
  <cp:lastModifiedBy>ZTE</cp:lastModifiedBy>
  <cp:lastPrinted>2011-10-28T07:16:00Z</cp:lastPrinted>
  <dcterms:modified xsi:type="dcterms:W3CDTF">2019-08-17T02:30:39Z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2052-10.8.2.7027</vt:lpwstr>
  </property>
</Properties>
</file>